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Principal Product Designer, UX Architect, and Enterprise Solution Architect.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attached the BRD and PRD for an AI Request Intelligence Platform (ARIP). Use both documents as the single source of truth (PRD takes precedence where implementation details exist).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goal is to design a complete enterprise-grade, responsive SaaS application—not just UI mockups. The output should be implementation-ready so Claude Code can build the application with minimal assumptions.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Information Architecture &amp; Sitemap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User Personas &amp; User Journeys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Responsive UI/UX (Desktop, Tablet, Mobile)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Design System (colors, typography, spacing, components, accessibility)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Complete screen designs for every module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End-to-end user flows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System Architecture diagrams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Mermaid diagrams (system, workflow, sequence, deployment, data flow)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Component hierarchy for every screen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Interaction, validation, loading, empty, success, and error states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11. Role-based UX (Super Admin, Admin, Knowledge Manager, Department Manager, Support Agent, Executive, Auditor, Customer)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12. Handoff documentation optimized for Claude Code implementation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application must include: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Request Management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AI Request Processing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Hybrid Knowledge Management (Vector + Vectorless RAG)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Workflow Engine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Department Routing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Email Processing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Prompt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Analytics &amp; Reporting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Administration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RBAC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Settings &amp; Integrations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Design Principles: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Enterprise-first (similar to ServiceNow, Jira, GitHub Enterprise, Azure Portal)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Clean, modern, responsive, accessible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Productivity-focused for daily business users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Consistent design system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Scalable and modular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Explainable AI with confidence scores, citations, audit trails, and human-in-the-loop workflows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Before finishing, verify that every business and product requirement from the BRD and PRD is represented in the design and that the output is implementation-ready for Claude Code.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