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We vary feedback wording and a fixed family guidance document, not the quality of open-ended retrieval. Original retrieval augmented generation selects external evidence for generation [14], whereas our lookup returns at most one predetermined document; calling this an RAG effect would overstate the manipulation.</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 clustered GEE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guidance corpus contained 20 reviewed documents, was selected deterministically by family, and had SHA 256 3d1a662cf4e40208d95a0d30aae0cfc00aa07544e942c117ba66921e4e77461f. This is a controlled prompt addition. It is not an experiment on retrieval ranking, search quality, or growing memory.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effective 900 second episode boundary, and the provider request timeout was 600 seconds. A request already in flight could finish after the nominal boundary. Our analysis uses the effective 900 second limit recorded per run and keeps timeout as a behavioral event. It does not assume a clean 30 minute limit.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follows the recorded terminal reason: agent self termination, budget stop, timeout, or infrastructure abort. Self termination is not automatically rational; the adapter may reach it after exhausting protocol reminders without an explicit claim.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current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four selected contrasts, we computed a percentile bootstrap over the five families with 20,000 resamples and a fixed analysis seed. These intervals illustrate instability within the selected families; they are not confirmatory population confidence intervals. We report no p values, no multiple comparison adjusted claims, and no GEE: five clusters and the absent independently coded strategy outcome make the prespecified model unsuitable.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and never reconstructs original code by inserting guessed quotes.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Both paired family bootstrap sensitivity intervals span −40 to 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the logger replaced credential-like assignments with an unquoted &lt;REDACTED&gt; token in 11; two other sources contain malformed ;def syntax, and one has an unmatched brace. The original ASTs of the 11 redacted submissions cannot be recovered from the preserved logs by adding quotes around the marker. This leaves only 25 adjacent pairs with two parseable sources. Of these 25,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The median elapsed time is 647.4 seconds per main episode (range of actions: two to six). The R median is 431.9 seconds and the U median is 728.2 seconds; the different failure exposure and artificial U veto make this a descriptive time contrast. A self termination label includes responses following protocol nudges and is not a measure of evidence based abandonment. The single budget stop occurred in a U episode; the single timeout in an R episode. Figure 4 shows the stop composition.</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Terminal event classification by nominal repairability, n=20 per group. Counts are recorded event types and do not encode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The three repetitions also gave zero within-cell sample SD for submission count in every family-condition cell. That does not establish determinism or yield a meaningful task-population confidence interval; the independent family count remains two.</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preregistered 20 family, repeated run GEE cannot be estimated appropriately here. Percentile resampling of five selected families is a sensitivity display, not a confirmatory uncertainty statement. The corrected pilot has three seeds per cell but only two authored families; its zero within-cell submission variance and single selected fork provide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11 from an unquoted redaction token, two from ;def syntax, and one from an unmatched brace.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AGENT_SELF_TERMINATION does not always mean voluntary evidence based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Raw traces are kept in a local archive excluded from Git; an external researcher needs that archive, or a carefully reviewed redacted release, to reproduce every numerical result.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Publication of full trajectories may expose model generated code, local path metadata, and tool output; raw release should be reviewed and redacted without breaking the source/verifier linkage. The present local archive remains necessary to reproduce the counts. We know of no human participants in these episodes. Ethics approval or data release permission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Git-ignored local v7 archives; the tracked derived audit JSON files alone do not reproduce their counts. Rebuild the figures and submission documents with sh reproduction/render_paper.sh using the bundled workspace Python dependencies described in paper/README.md. A researcher without experiments/runs/ and experiments/raw_archive/ can inspect the manuscript and derived tables but cannot independently regenerate all counts. The original study source revision is withheld during anonymous review; this manuscript and post-collection analysis remain a working-tree review draft pending a final release revision.</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