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We vary feedback wording and a fixed family guidance document, not the quality of open-ended retrieval. Original retrieval augmented generation selects external evidence for generation [14], whereas our lookup returns at most one predetermined document; calling this an RAG effect would overstate the manipulation.</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 clustered GEE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guidance corpus contained 20 reviewed documents, was selected deterministically by family, and had SHA 256 3d1a662cf4e40208d95a0d30aae0cfc00aa07544e942c117ba66921e4e77461f. This is a controlled prompt addition. It is not an experiment on retrieval ranking, search quality, or growing memory.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effective 900 second episode boundary, and the provider request timeout was 600 seconds. A request already in flight could finish after the nominal boundary. Our analysis uses the effective 900 second limit recorded per run and keeps timeout as a behavioral event. It does not assume a clean 30 minute limit.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follows the recorded terminal reason: agent self termination, budget stop, timeout, or infrastructure abort. Self termination is not automatically rational; the adapter may reach it after exhausting protocol reminders without an explicit claim.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current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four selected contrasts, we computed a percentile bootstrap over the five families with 20,000 resamples and a fixed analysis seed. These intervals illustrate instability within the selected families; they are not confirmatory population confidence intervals. We report no p values, no multiple comparison adjusted claims, and no GEE: five clusters and the absent independently coded strategy outcome make the prespecified model unsuitable.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and never reconstructs original code by inserting guessed quotes.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Both paired family bootstrap sensitivity intervals span −40 to 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the logger replaced credential-like assignments with an unquoted &lt;REDACTED&gt; token in 11; two other sources contain malformed ;def syntax, and one has an unmatched brace. The original ASTs of the 11 redacted submissions cannot be recovered from the preserved logs by adding quotes around the marker. This leaves only 25 adjacent pairs with two parseable sources. Of these 25,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The median elapsed time is 647.4 seconds per main episode (range of actions: two to six). The R median is 431.9 seconds and the U median is 728.2 seconds; the different failure exposure and artificial U veto make this a descriptive time contrast. A self termination label includes responses following protocol nudges and is not a measure of evidence based abandonment. The single budget stop occurred in a U episode; the single timeout in an R episode. Figure 4 shows the stop composition.</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Terminal event classification by nominal repairability, n=20 per group. Counts are recorded event types and do not encode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The three repetitions also gave zero within-cell sample SD for submission count in every family-condition cell. That does not establish determinism or yield a meaningful task-population confidence interval; the independent family count remains two.</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preregistered 20 family, repeated run GEE cannot be estimated appropriately here. Percentile resampling of five selected families is a sensitivity display, not a confirmatory uncertainty statement. The corrected pilot has three seeds per cell but only two authored families; its zero within-cell submission variance and single selected fork provide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11 from an unquoted redaction token, two from ;def syntax, and one from an unmatched brace.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AGENT_SELF_TERMINATION does not always mean voluntary evidence based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current research branch tracks the raw trajectories and archives needed to recalculate the reported counts; a reader must use a revision containing those files, because the default branch may lag this draft.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tracked full trajectories include model generated code, local path metadata, and tool output. Their presence in the research branch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on the current research branch;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source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