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We vary feedback wording and a fixed family guidance document, not the quality of open-ended retrieval. Original retrieval augmented generation selects external evidence for generation [14], whereas our lookup returns at most one predetermined document; calling this an RAG effect would overstate the manipulation.</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 clustered GEE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guidance corpus contained 20 reviewed documents, was selected deterministically by family, and had SHA 256 3d1a662cf4e40208d95a0d30aae0cfc00aa07544e942c117ba66921e4e77461f. This is a controlled prompt addition. It is not an experiment on retrieval ranking, search quality, or growing memory.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effective 900 second episode boundary, and the provider request timeout was 600 seconds. A request already in flight could finish after the nominal boundary. Our analysis uses the effective 900 second limit recorded per run and keeps timeout as a behavioral event. It does not assume a clean 30 minute limit.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follows the recorded terminal reason: agent self termination, budget stop, timeout, or infrastructure abort. Self termination is not automatically rational; the adapter may reach it after exhausting protocol reminders without an explicit claim.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current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four selected contrasts, we computed a percentile bootstrap over the five families with 20,000 resamples and a fixed analysis seed. These intervals illustrate instability within the selected families; they are not confirmatory population confidence intervals. We report no p values, no multiple comparison adjusted claims, and no GEE: five clusters and the absent independently coded strategy outcome make the prespecified model unsuitable.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and never reconstructs original code by inserting guessed quotes.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Both paired family bootstrap sensitivity intervals span −40 to 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the logger replaced credential-like assignments with an unquoted &lt;REDACTED&gt; token in 11; two other sources contain malformed ;def syntax, and one has an unmatched brace. The original ASTs of the 11 redacted submissions cannot be recovered from the preserved logs by adding quotes around the marker. This leaves only 25 adjacent pairs with two parseable sources. Of these 25,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The median elapsed time is 647.4 seconds per main episode (range of actions: two to six). The R median is 431.9 seconds and the U median is 728.2 seconds; the different failure exposure and artificial U veto make this a descriptive time contrast. A self termination label includes responses following protocol nudges and is not a measure of evidence based abandonment. The single budget stop occurred in a U episode; the single timeout in an R episode. Figure 4 shows the stop composition.</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Terminal event classification by nominal repairability, n=20 per group. Counts are recorded event types and do not encode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The three repetitions also gave zero within-cell sample SD for submission count in every family-condition cell. That does not establish determinism or yield a meaningful task-population confidence interval; the independent family count remains two.</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preregistered 20 family, repeated run GEE cannot be estimated appropriately here. Percentile resampling of five selected families is a sensitivity display, not a confirmatory uncertainty statement. The corrected pilot has three seeds per cell but only two authored families; its zero within-cell submission variance and single selected fork provide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11 from an unquoted redaction token, two from ;def syntax, and one from an unmatched brace.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AGENT_SELF_TERMINATION does not always mean voluntary evidence based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current research branch tracks the raw trajectories and archives needed to recalculate the reported counts; a reader must use a revision containing those files, because the default branch may lag this draft.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tracked full trajectories include model generated code, local path metadata, and tool output. Their presence in the research branch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on the current research branch;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source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et al., “Reflexion: Language Agents with Verbal Reinforcement Learning,” NeurIPS, 2023. Primary source (https://arxiv.org/abs/2303.11366).</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Primary source (https://arxiv.org/abs/2405.15690).</w:t>
      </w:r>
    </w:p>
    <w:p>
      <w:pPr/>
      <w:r>
        <w:t>[8] A. Wang et al., “Hell or High Water: Evaluating Agentic Recovery from External Failures,” COLM, 2025. Primary source (https://arxiv.org/abs/2508.11027).</w:t>
      </w:r>
    </w:p>
    <w:p>
      <w:pPr/>
      <w:r>
        <w:t>[9] X. Liu et al., “AgentAbstain: Do LLM Agents Know When Not to Act?,” arXiv preprint, 2026. Primary source (https://arxiv.org/abs/2607.10059).</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arXiv preprint, 2025. Primary source (https://arxiv.org/abs/2506.02548).</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Primary source (https://csrc.nist.gov/pubs/sp/800/38/d/final).</w:t>
      </w:r>
    </w:p>
    <w:p>
      <w:pPr/>
      <w:r>
        <w:t>[21] M. S. Turan, E. Barker, W. Burr, and L. Chen, “Recommendation for Password-Based Key Derivation: Part 1: Storage Applications,” NIST SP 800-132, 2010.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