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Sleep Stage Classification in Ischemic Stroke</w:t>
      </w:r>
    </w:p>
    <w:p>
      <w:pPr>
        <w:jc w:val="center"/>
      </w:pPr>
      <w:r>
        <w:rPr>
          <w:b/>
          <w:i w:val="0"/>
        </w:rPr>
        <w:t>Individual viva preparation — my contribution: the data-processing stage</w:t>
      </w:r>
    </w:p>
    <w:p>
      <w:pPr>
        <w:jc w:val="center"/>
      </w:pPr>
      <w:r>
        <w:rPr>
          <w:b w:val="0"/>
          <w:i/>
          <w:sz w:val="19"/>
        </w:rPr>
        <w:t>Paper: Hemispheric-Asymmetry Graph Networks for Sleep Staging in Ischemic Stroke  ·  Dataset: iSLEEPS (Maiti et al., Scientific Data 13:421, 2026)</w:t>
      </w:r>
    </w:p>
    <w:p>
      <w:pPr>
        <w:jc w:val="center"/>
      </w:pPr>
      <w:r>
        <w:rPr>
          <w:b w:val="0"/>
          <w:i w:val="0"/>
          <w:sz w:val="19"/>
        </w:rPr>
        <w:t>Artefacts to demonstrate:  project/processing/iSLEEPS_preprocessing.ipynb  and  Sleep_Stage_Classification paper/main.tex (Overleaf)</w:t>
      </w:r>
    </w:p>
    <w:p>
      <w:pPr>
        <w:pStyle w:val="Heading1"/>
      </w:pPr>
      <w:r>
        <w:t>1. The one-paragraph answer to “what was your part?”</w:t>
      </w:r>
    </w:p>
    <w:p>
      <w:r>
        <w:rPr>
          <w:b w:val="0"/>
          <w:i w:val="0"/>
        </w:rPr>
        <w:t>The project has two halves. My teammates built and trained the models (the HAG-Net graph stream, the state-space decoder, HMM decoding, the evaluation protocol). I built everything upstream of that: the data-processing stage that turns the raw iSLEEPS release — 100 overnight polysomnography recordings as vendor EDF files plus Excel annotation workbooks — into the exact arrays the models consume. Concretely that is annotation decoding, montage harmonisation across two incompatible referencing conventions, resampling and 30-second epoching, corpus integrity auditing, and the 188-dimensional per-epoch feature representation. In the paper this is Section 3.1 (Dataset and preprocessing) and Section 3.2 (Dual physiological feature representation). The ablation table shows why it matters: essentially all of the accuracy in this paper comes from processing decisions, not from model depth.</w:t>
      </w:r>
    </w:p>
    <w:p>
      <w:pPr>
        <w:pStyle w:val="Heading2"/>
      </w:pPr>
      <w:r>
        <w:t>The single strongest sentence to say out loud</w:t>
      </w:r>
    </w:p>
    <w:p>
      <w:r>
        <w:rPr>
          <w:b w:val="0"/>
          <w:i w:val="0"/>
        </w:rPr>
        <w:t>“</w:t>
      </w:r>
      <w:r>
        <w:rPr>
          <w:b/>
          <w:i w:val="0"/>
        </w:rPr>
        <w:t>Every accuracy point in our ablation table comes from the processing stage: going from 39 to 99 usable subjects (+6.4 points) is my montage harmonisation, going from 4 EEG channels to 7 (+1.5) is my montage design, and the event features (+0.4 accuracy, +0.7 macro-F1) are my feature engineering — while the deep graph and state-space streams added exactly zero.</w:t>
      </w:r>
      <w:r>
        <w:rPr>
          <w:b w:val="0"/>
          <w:i w:val="0"/>
        </w:rPr>
        <w:t>”</w:t>
      </w:r>
    </w:p>
    <w:p>
      <w:pPr>
        <w:pStyle w:val="Heading1"/>
      </w:pPr>
      <w:r>
        <w:t>2. Demo runbook — what to open, in what order</w:t>
      </w:r>
    </w:p>
    <w:p>
      <w:r>
        <w:rPr>
          <w:b w:val="0"/>
          <w:i w:val="0"/>
        </w:rPr>
        <w:t>Have three windows ready before the session starts: the notebook, Overleaf, and a file explorer showing the dataset folder. Rehearse this order; it takes 6–8 minutes.</w:t>
      </w:r>
    </w:p>
    <w:tbl>
      <w:tblPr>
        <w:tblStyle w:val="TableGrid"/>
        <w:tblW w:type="auto" w:w="0"/>
        <w:jc w:val="center"/>
        <w:tblLook w:firstColumn="1" w:firstRow="1" w:lastColumn="0" w:lastRow="0" w:noHBand="0" w:noVBand="1" w:val="04A0"/>
      </w:tblPr>
      <w:tblGrid>
        <w:gridCol w:w="2880"/>
        <w:gridCol w:w="2880"/>
        <w:gridCol w:w="2880"/>
      </w:tblGrid>
      <w:tr>
        <w:tc>
          <w:tcPr>
            <w:tcW w:type="dxa" w:w="432"/>
            <w:shd w:fill="DCE6F1"/>
          </w:tcPr>
          <w:p>
            <w:r/>
            <w:r>
              <w:rPr>
                <w:b/>
                <w:sz w:val="19"/>
              </w:rPr>
              <w:t>#</w:t>
            </w:r>
          </w:p>
        </w:tc>
        <w:tc>
          <w:tcPr>
            <w:tcW w:type="dxa" w:w="2880"/>
            <w:shd w:fill="DCE6F1"/>
          </w:tcPr>
          <w:p>
            <w:r/>
            <w:r>
              <w:rPr>
                <w:b/>
                <w:sz w:val="19"/>
              </w:rPr>
              <w:t>Action</w:t>
            </w:r>
          </w:p>
        </w:tc>
        <w:tc>
          <w:tcPr>
            <w:tcW w:type="dxa" w:w="6048"/>
            <w:shd w:fill="DCE6F1"/>
          </w:tcPr>
          <w:p>
            <w:r/>
            <w:r>
              <w:rPr>
                <w:b/>
                <w:sz w:val="19"/>
              </w:rPr>
              <w:t>What you say while it is on screen</w:t>
            </w:r>
          </w:p>
        </w:tc>
      </w:tr>
      <w:tr>
        <w:tc>
          <w:tcPr>
            <w:tcW w:type="dxa" w:w="432"/>
          </w:tcPr>
          <w:p>
            <w:r/>
            <w:r>
              <w:rPr>
                <w:sz w:val="19"/>
              </w:rPr>
              <w:t>1</w:t>
            </w:r>
          </w:p>
        </w:tc>
        <w:tc>
          <w:tcPr>
            <w:tcW w:type="dxa" w:w="2880"/>
          </w:tcPr>
          <w:p>
            <w:r/>
            <w:r>
              <w:rPr>
                <w:sz w:val="19"/>
              </w:rPr>
              <w:t>Open the notebook, scroll to the title table</w:t>
            </w:r>
          </w:p>
        </w:tc>
        <w:tc>
          <w:tcPr>
            <w:tcW w:type="dxa" w:w="6048"/>
          </w:tcPr>
          <w:p>
            <w:r/>
            <w:r>
              <w:rPr>
                <w:sz w:val="19"/>
              </w:rPr>
              <w:t>“This notebook is the executable version of Sections 3.1 and 3.2 of our paper. Ten stages, raw vendor files at the top, model-ready tensors at the bottom.”</w:t>
            </w:r>
          </w:p>
        </w:tc>
      </w:tr>
      <w:tr>
        <w:tc>
          <w:tcPr>
            <w:tcW w:type="dxa" w:w="432"/>
          </w:tcPr>
          <w:p>
            <w:r/>
            <w:r>
              <w:rPr>
                <w:sz w:val="19"/>
              </w:rPr>
              <w:t>2</w:t>
            </w:r>
          </w:p>
        </w:tc>
        <w:tc>
          <w:tcPr>
            <w:tcW w:type="dxa" w:w="2880"/>
          </w:tcPr>
          <w:p>
            <w:r/>
            <w:r>
              <w:rPr>
                <w:sz w:val="19"/>
              </w:rPr>
              <w:t>Section 1 — corpus inventory</w:t>
            </w:r>
          </w:p>
        </w:tc>
        <w:tc>
          <w:tcPr>
            <w:tcW w:type="dxa" w:w="6048"/>
          </w:tcPr>
          <w:p>
            <w:r/>
            <w:r>
              <w:rPr>
                <w:sz w:val="19"/>
              </w:rPr>
              <w:t>“The release ships two files per subject and nothing is machine-readable yet. This cell reads each EDF's own header to verify the file is complete before trusting it.”</w:t>
            </w:r>
          </w:p>
        </w:tc>
      </w:tr>
      <w:tr>
        <w:tc>
          <w:tcPr>
            <w:tcW w:type="dxa" w:w="432"/>
          </w:tcPr>
          <w:p>
            <w:r/>
            <w:r>
              <w:rPr>
                <w:sz w:val="19"/>
              </w:rPr>
              <w:t>3</w:t>
            </w:r>
          </w:p>
        </w:tc>
        <w:tc>
          <w:tcPr>
            <w:tcW w:type="dxa" w:w="2880"/>
          </w:tcPr>
          <w:p>
            <w:r/>
            <w:r>
              <w:rPr>
                <w:sz w:val="19"/>
              </w:rPr>
              <w:t>Section 2 — annotation decoding</w:t>
            </w:r>
          </w:p>
        </w:tc>
        <w:tc>
          <w:tcPr>
            <w:tcW w:type="dxa" w:w="6048"/>
          </w:tcPr>
          <w:p>
            <w:r/>
            <w:r>
              <w:rPr>
                <w:sz w:val="19"/>
              </w:rPr>
              <w:t>“The hypnogram is buried in a 24-sheet vendor Excel export with an 8-row header and German column names. I audit all 40 workbooks to prove the parsing rule holds.”</w:t>
            </w:r>
          </w:p>
        </w:tc>
      </w:tr>
      <w:tr>
        <w:tc>
          <w:tcPr>
            <w:tcW w:type="dxa" w:w="432"/>
          </w:tcPr>
          <w:p>
            <w:r/>
            <w:r>
              <w:rPr>
                <w:sz w:val="19"/>
              </w:rPr>
              <w:t>4</w:t>
            </w:r>
          </w:p>
        </w:tc>
        <w:tc>
          <w:tcPr>
            <w:tcW w:type="dxa" w:w="2880"/>
          </w:tcPr>
          <w:p>
            <w:r/>
            <w:r>
              <w:rPr>
                <w:sz w:val="19"/>
              </w:rPr>
              <w:t>Section 3 — montage harmonisation (spend the most time here)</w:t>
            </w:r>
          </w:p>
        </w:tc>
        <w:tc>
          <w:tcPr>
            <w:tcW w:type="dxa" w:w="6048"/>
          </w:tcPr>
          <w:p>
            <w:r/>
            <w:r>
              <w:rPr>
                <w:sz w:val="19"/>
              </w:rPr>
              <w:t>“This is the most important step. The cohort mixes A1/A2 and M1/M2 references. Without the rename, a naive loader silently drops most of the dataset — that is exactly the 39-versus-99-subject row in our ablation table.”</w:t>
            </w:r>
          </w:p>
        </w:tc>
      </w:tr>
      <w:tr>
        <w:tc>
          <w:tcPr>
            <w:tcW w:type="dxa" w:w="432"/>
          </w:tcPr>
          <w:p>
            <w:r/>
            <w:r>
              <w:rPr>
                <w:sz w:val="19"/>
              </w:rPr>
              <w:t>5</w:t>
            </w:r>
          </w:p>
        </w:tc>
        <w:tc>
          <w:tcPr>
            <w:tcW w:type="dxa" w:w="2880"/>
          </w:tcPr>
          <w:p>
            <w:r/>
            <w:r>
              <w:rPr>
                <w:sz w:val="19"/>
              </w:rPr>
              <w:t>Section 5 — the per-stage epoch plot</w:t>
            </w:r>
          </w:p>
        </w:tc>
        <w:tc>
          <w:tcPr>
            <w:tcW w:type="dxa" w:w="6048"/>
          </w:tcPr>
          <w:p>
            <w:r/>
            <w:r>
              <w:rPr>
                <w:sz w:val="19"/>
              </w:rPr>
              <w:t>“This is my proof the pipeline preserves physiology: alpha in Wake, spindles in N2, slow waves in N3, and in REM you can see active EOG with a flat EMG — atonia.”</w:t>
            </w:r>
          </w:p>
        </w:tc>
      </w:tr>
      <w:tr>
        <w:tc>
          <w:tcPr>
            <w:tcW w:type="dxa" w:w="432"/>
          </w:tcPr>
          <w:p>
            <w:r/>
            <w:r>
              <w:rPr>
                <w:sz w:val="19"/>
              </w:rPr>
              <w:t>6</w:t>
            </w:r>
          </w:p>
        </w:tc>
        <w:tc>
          <w:tcPr>
            <w:tcW w:type="dxa" w:w="2880"/>
          </w:tcPr>
          <w:p>
            <w:r/>
            <w:r>
              <w:rPr>
                <w:sz w:val="19"/>
              </w:rPr>
              <w:t>Section 7E — the alignment finding</w:t>
            </w:r>
          </w:p>
        </w:tc>
        <w:tc>
          <w:tcPr>
            <w:tcW w:type="dxa" w:w="6048"/>
          </w:tcPr>
          <w:p>
            <w:r/>
            <w:r>
              <w:rPr>
                <w:sz w:val="19"/>
              </w:rPr>
              <w:t>“My audit found a one-epoch label misalignment in the shipped parser. Here is the shift sweep that proves it, and here is why I did not silently fix it.”</w:t>
            </w:r>
          </w:p>
        </w:tc>
      </w:tr>
      <w:tr>
        <w:tc>
          <w:tcPr>
            <w:tcW w:type="dxa" w:w="432"/>
          </w:tcPr>
          <w:p>
            <w:r/>
            <w:r>
              <w:rPr>
                <w:sz w:val="19"/>
              </w:rPr>
              <w:t>7</w:t>
            </w:r>
          </w:p>
        </w:tc>
        <w:tc>
          <w:tcPr>
            <w:tcW w:type="dxa" w:w="2880"/>
          </w:tcPr>
          <w:p>
            <w:r/>
            <w:r>
              <w:rPr>
                <w:sz w:val="19"/>
              </w:rPr>
              <w:t>Section 8 — the 188 features</w:t>
            </w:r>
          </w:p>
        </w:tc>
        <w:tc>
          <w:tcPr>
            <w:tcW w:type="dxa" w:w="6048"/>
          </w:tcPr>
          <w:p>
            <w:r/>
            <w:r>
              <w:rPr>
                <w:sz w:val="19"/>
              </w:rPr>
              <w:t>“161 spectral and temporal, 27 physiological-event. The event features are the ones a human scorer actually uses — spindle density, slow-wave amplitude, EOG movement, EMG tone.”</w:t>
            </w:r>
          </w:p>
        </w:tc>
      </w:tr>
      <w:tr>
        <w:tc>
          <w:tcPr>
            <w:tcW w:type="dxa" w:w="432"/>
          </w:tcPr>
          <w:p>
            <w:r/>
            <w:r>
              <w:rPr>
                <w:sz w:val="19"/>
              </w:rPr>
              <w:t>8</w:t>
            </w:r>
          </w:p>
        </w:tc>
        <w:tc>
          <w:tcPr>
            <w:tcW w:type="dxa" w:w="2880"/>
          </w:tcPr>
          <w:p>
            <w:r/>
            <w:r>
              <w:rPr>
                <w:sz w:val="19"/>
              </w:rPr>
              <w:t>Section 10 — the sanity check</w:t>
            </w:r>
          </w:p>
        </w:tc>
        <w:tc>
          <w:tcPr>
            <w:tcW w:type="dxa" w:w="6048"/>
          </w:tcPr>
          <w:p>
            <w:r/>
            <w:r>
              <w:rPr>
                <w:sz w:val="19"/>
              </w:rPr>
              <w:t>“A plain boosting model on my features, trained with a patient-exclusive split, already recovers the AASM structure on unseen patients. That is a data-quality result, not a modelling claim.”</w:t>
            </w:r>
          </w:p>
        </w:tc>
      </w:tr>
      <w:tr>
        <w:tc>
          <w:tcPr>
            <w:tcW w:type="dxa" w:w="432"/>
          </w:tcPr>
          <w:p>
            <w:r/>
            <w:r>
              <w:rPr>
                <w:sz w:val="19"/>
              </w:rPr>
              <w:t>9</w:t>
            </w:r>
          </w:p>
        </w:tc>
        <w:tc>
          <w:tcPr>
            <w:tcW w:type="dxa" w:w="2880"/>
          </w:tcPr>
          <w:p>
            <w:r/>
            <w:r>
              <w:rPr>
                <w:sz w:val="19"/>
              </w:rPr>
              <w:t>Switch to Overleaf → Section 3.1, then Table 3 (ablation)</w:t>
            </w:r>
          </w:p>
        </w:tc>
        <w:tc>
          <w:tcPr>
            <w:tcW w:type="dxa" w:w="6048"/>
          </w:tcPr>
          <w:p>
            <w:r/>
            <w:r>
              <w:rPr>
                <w:sz w:val="19"/>
              </w:rPr>
              <w:t>“This paragraph is my pipeline in prose. And this table is the payoff — read the upper block top to bottom.”</w:t>
            </w:r>
          </w:p>
        </w:tc>
      </w:tr>
    </w:tbl>
    <w:p/>
    <w:p>
      <w:r>
        <w:rPr>
          <w:b w:val="0"/>
          <w:i/>
        </w:rPr>
        <w:t>If asked to run something live, run Section 4 (the six-step epoching cell). It takes about four seconds on one subject and prints the shape after every operation.</w:t>
      </w:r>
    </w:p>
    <w:p>
      <w:pPr>
        <w:pStyle w:val="Heading2"/>
      </w:pPr>
      <w:r>
        <w:t>What the saved notebook currently shows — and how to refresh it</w:t>
      </w:r>
    </w:p>
    <w:p>
      <w:r>
        <w:rPr>
          <w:b w:val="0"/>
          <w:i w:val="0"/>
        </w:rPr>
        <w:t>The notebook is saved with all outputs already executed, so nothing needs to run during the session. As saved it processed 5 subjects (4,428 epochs, 37 recorded hours, 174 MB of built corpus) — the subjects whose EDF files had finished downloading at the time. The Zenodo transfer is slow, so if more subjects have landed before your session, one command re-runs everything and refreshes every table and figure automatically — the notebook discovers whatever is present:</w:t>
      </w:r>
    </w:p>
    <w:p>
      <w:pPr>
        <w:spacing w:before="60" w:after="120"/>
        <w:ind w:left="360"/>
      </w:pPr>
      <w:r>
        <w:rPr>
          <w:rFonts w:ascii="Consolas" w:hAnsi="Consolas"/>
          <w:color w:val="113311"/>
          <w:sz w:val="18"/>
        </w:rPr>
        <w:t>cd "project/processing"</w:t>
        <w:br/>
        <w:t>python -m nbconvert --to notebook --execute --inplace --ExecutePreprocessor.timeout=3600 iSLEEPS_preprocessing.ipynb</w:t>
      </w:r>
    </w:p>
    <w:p>
      <w:r>
        <w:rPr>
          <w:b w:val="0"/>
          <w:i w:val="0"/>
        </w:rPr>
        <w:t>Headline numbers in the saved run: stage distribution W 28.4%, N1 14.3%, N2 42.1%, N3 9.8%, REM 5.4%; 188 features per epoch, 1316 with temporal context; patient-exclusive 5-fold sanity check reaching accuracy 0.714, macro-F1 0.648, kappa 0.602.</w:t>
      </w:r>
    </w:p>
    <w:p>
      <w:r>
        <w:rPr>
          <w:b w:val="0"/>
          <w:i/>
        </w:rPr>
        <w:t>If asked why the distribution does not match Table 1 of the paper: because that table is the full 99-subject cohort and this run is a handful of subjects. Say so plainly — the pipeline is identical, only the input set differs.</w:t>
      </w:r>
    </w:p>
    <w:p>
      <w:pPr>
        <w:pStyle w:val="Heading1"/>
      </w:pPr>
      <w:r>
        <w:t>3. The pipeline, stage by stage</w:t>
      </w:r>
    </w:p>
    <w:p>
      <w:r>
        <w:rPr>
          <w:b w:val="0"/>
          <w:i w:val="0"/>
        </w:rPr>
        <w:t>Know what each stage does, why it is necessary, and what breaks without it. The third column is what a viva examiner is actually probing for.</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DCE6F1"/>
          </w:tcPr>
          <w:p>
            <w:r/>
            <w:r>
              <w:rPr>
                <w:b/>
                <w:sz w:val="19"/>
              </w:rPr>
              <w:t>Stage</w:t>
            </w:r>
          </w:p>
        </w:tc>
        <w:tc>
          <w:tcPr>
            <w:tcW w:type="dxa" w:w="3744"/>
            <w:shd w:fill="DCE6F1"/>
          </w:tcPr>
          <w:p>
            <w:r/>
            <w:r>
              <w:rPr>
                <w:b/>
                <w:sz w:val="19"/>
              </w:rPr>
              <w:t>What it does</w:t>
            </w:r>
          </w:p>
        </w:tc>
        <w:tc>
          <w:tcPr>
            <w:tcW w:type="dxa" w:w="3456"/>
            <w:shd w:fill="DCE6F1"/>
          </w:tcPr>
          <w:p>
            <w:r/>
            <w:r>
              <w:rPr>
                <w:b/>
                <w:sz w:val="19"/>
              </w:rPr>
              <w:t>What breaks without it</w:t>
            </w:r>
          </w:p>
        </w:tc>
      </w:tr>
      <w:tr>
        <w:tc>
          <w:tcPr>
            <w:tcW w:type="dxa" w:w="2160"/>
          </w:tcPr>
          <w:p>
            <w:r/>
            <w:r>
              <w:rPr>
                <w:sz w:val="19"/>
              </w:rPr>
              <w:t>1. Inventory + EDF completeness</w:t>
            </w:r>
          </w:p>
        </w:tc>
        <w:tc>
          <w:tcPr>
            <w:tcW w:type="dxa" w:w="3744"/>
          </w:tcPr>
          <w:p>
            <w:r/>
            <w:r>
              <w:rPr>
                <w:sz w:val="19"/>
              </w:rPr>
              <w:t>Pairs SNxx.edf with SNxx.xlsx; parses each EDF's 256-byte header and checks the declared size against the file on disk.</w:t>
            </w:r>
          </w:p>
        </w:tc>
        <w:tc>
          <w:tcPr>
            <w:tcW w:type="dxa" w:w="3456"/>
          </w:tcPr>
          <w:p>
            <w:r/>
            <w:r>
              <w:rPr>
                <w:sz w:val="19"/>
              </w:rPr>
              <w:t>A truncated download trains silently on a half night. No exception is ever raised.</w:t>
            </w:r>
          </w:p>
        </w:tc>
      </w:tr>
      <w:tr>
        <w:tc>
          <w:tcPr>
            <w:tcW w:type="dxa" w:w="2160"/>
          </w:tcPr>
          <w:p>
            <w:r/>
            <w:r>
              <w:rPr>
                <w:sz w:val="19"/>
              </w:rPr>
              <w:t>2. Annotation decoding</w:t>
            </w:r>
          </w:p>
        </w:tc>
        <w:tc>
          <w:tcPr>
            <w:tcW w:type="dxa" w:w="3744"/>
          </w:tcPr>
          <w:p>
            <w:r/>
            <w:r>
              <w:rPr>
                <w:sz w:val="19"/>
              </w:rPr>
              <w:t>Reads the 'Sleep profile' sheet, skips the header rows, maps Wake/N1/N2/N3/REM to 0–4 and everything else to BAD_ so it is dropped.</w:t>
            </w:r>
          </w:p>
        </w:tc>
        <w:tc>
          <w:tcPr>
            <w:tcW w:type="dxa" w:w="3456"/>
          </w:tcPr>
          <w:p>
            <w:r/>
            <w:r>
              <w:rPr>
                <w:sz w:val="19"/>
              </w:rPr>
              <w:t>Artefact ('A'), 'Movement' and 'Artefact' epochs would be mislabelled as a real stage.</w:t>
            </w:r>
          </w:p>
        </w:tc>
      </w:tr>
      <w:tr>
        <w:tc>
          <w:tcPr>
            <w:tcW w:type="dxa" w:w="2160"/>
          </w:tcPr>
          <w:p>
            <w:r/>
            <w:r>
              <w:rPr>
                <w:sz w:val="19"/>
              </w:rPr>
              <w:t>3. Montage harmonisation</w:t>
            </w:r>
          </w:p>
        </w:tc>
        <w:tc>
          <w:tcPr>
            <w:tcW w:type="dxa" w:w="3744"/>
          </w:tcPr>
          <w:p>
            <w:r/>
            <w:r>
              <w:rPr>
                <w:sz w:val="19"/>
              </w:rPr>
              <w:t>Renames A1/A2-referenced derivations to their M1/M2 equivalents, then picks a fixed 7-channel montage in a fixed order.</w:t>
            </w:r>
          </w:p>
        </w:tc>
        <w:tc>
          <w:tcPr>
            <w:tcW w:type="dxa" w:w="3456"/>
          </w:tcPr>
          <w:p>
            <w:r/>
            <w:r>
              <w:rPr>
                <w:sz w:val="19"/>
              </w:rPr>
              <w:t>Most subjects are silently dropped for 'missing channels', and channel c means a different electrode in different subjects.</w:t>
            </w:r>
          </w:p>
        </w:tc>
      </w:tr>
      <w:tr>
        <w:tc>
          <w:tcPr>
            <w:tcW w:type="dxa" w:w="2160"/>
          </w:tcPr>
          <w:p>
            <w:r/>
            <w:r>
              <w:rPr>
                <w:sz w:val="19"/>
              </w:rPr>
              <w:t>4. Epoching</w:t>
            </w:r>
          </w:p>
        </w:tc>
        <w:tc>
          <w:tcPr>
            <w:tcW w:type="dxa" w:w="3744"/>
          </w:tcPr>
          <w:p>
            <w:r/>
            <w:r>
              <w:rPr>
                <w:sz w:val="19"/>
              </w:rPr>
              <w:t>Sets channel types, picks EEG/EOG/EMG, attaches the hypnogram, resamples to 100 Hz, cuts non-overlapping 30 s windows (3000 samples), scales to microvolts.</w:t>
            </w:r>
          </w:p>
        </w:tc>
        <w:tc>
          <w:tcPr>
            <w:tcW w:type="dxa" w:w="3456"/>
          </w:tcPr>
          <w:p>
            <w:r/>
            <w:r>
              <w:rPr>
                <w:sz w:val="19"/>
              </w:rPr>
              <w:t>Subjects have different sampling rates and lengths, so nothing stacks into a tensor.</w:t>
            </w:r>
          </w:p>
        </w:tc>
      </w:tr>
      <w:tr>
        <w:tc>
          <w:tcPr>
            <w:tcW w:type="dxa" w:w="2160"/>
          </w:tcPr>
          <w:p>
            <w:r/>
            <w:r>
              <w:rPr>
                <w:sz w:val="19"/>
              </w:rPr>
              <w:t>5. Visual QC</w:t>
            </w:r>
          </w:p>
        </w:tc>
        <w:tc>
          <w:tcPr>
            <w:tcW w:type="dxa" w:w="3744"/>
          </w:tcPr>
          <w:p>
            <w:r/>
            <w:r>
              <w:rPr>
                <w:sz w:val="19"/>
              </w:rPr>
              <w:t>One epoch per stage across all 7 channels, per-stage spectra, hypnogram, EMG tone.</w:t>
            </w:r>
          </w:p>
        </w:tc>
        <w:tc>
          <w:tcPr>
            <w:tcW w:type="dxa" w:w="3456"/>
          </w:tcPr>
          <w:p>
            <w:r/>
            <w:r>
              <w:rPr>
                <w:sz w:val="19"/>
              </w:rPr>
              <w:t>Shape checks pass on garbage; only the physiology tells you the labels are attached to the right signal.</w:t>
            </w:r>
          </w:p>
        </w:tc>
      </w:tr>
      <w:tr>
        <w:tc>
          <w:tcPr>
            <w:tcW w:type="dxa" w:w="2160"/>
          </w:tcPr>
          <w:p>
            <w:r/>
            <w:r>
              <w:rPr>
                <w:sz w:val="19"/>
              </w:rPr>
              <w:t>6. Corpus build</w:t>
            </w:r>
          </w:p>
        </w:tc>
        <w:tc>
          <w:tcPr>
            <w:tcW w:type="dxa" w:w="3744"/>
          </w:tcPr>
          <w:p>
            <w:r/>
            <w:r>
              <w:rPr>
                <w:sz w:val="19"/>
              </w:rPr>
              <w:t>One SNxx.npz per subject: x float16 [n, 7, 3000], y int64 [n], channel list, subject id, sampling rate.</w:t>
            </w:r>
          </w:p>
        </w:tc>
        <w:tc>
          <w:tcPr>
            <w:tcW w:type="dxa" w:w="3456"/>
          </w:tcPr>
          <w:p>
            <w:r/>
            <w:r>
              <w:rPr>
                <w:sz w:val="19"/>
              </w:rPr>
              <w:t>The modelling half has no stable contract to code against.</w:t>
            </w:r>
          </w:p>
        </w:tc>
      </w:tr>
      <w:tr>
        <w:tc>
          <w:tcPr>
            <w:tcW w:type="dxa" w:w="2160"/>
          </w:tcPr>
          <w:p>
            <w:r/>
            <w:r>
              <w:rPr>
                <w:sz w:val="19"/>
              </w:rPr>
              <w:t>7. Integrity audit</w:t>
            </w:r>
          </w:p>
        </w:tc>
        <w:tc>
          <w:tcPr>
            <w:tcW w:type="dxa" w:w="3744"/>
          </w:tcPr>
          <w:p>
            <w:r/>
            <w:r>
              <w:rPr>
                <w:sz w:val="19"/>
              </w:rPr>
              <w:t>Duplicate recordings, NaN/Inf, dead channels, saturation, and label–signal alignment.</w:t>
            </w:r>
          </w:p>
        </w:tc>
        <w:tc>
          <w:tcPr>
            <w:tcW w:type="dxa" w:w="3456"/>
          </w:tcPr>
          <w:p>
            <w:r/>
            <w:r>
              <w:rPr>
                <w:sz w:val="19"/>
              </w:rPr>
              <w:t>SN28 duplicates SN15; leaving it in leaks the same patient across CV folds.</w:t>
            </w:r>
          </w:p>
        </w:tc>
      </w:tr>
      <w:tr>
        <w:tc>
          <w:tcPr>
            <w:tcW w:type="dxa" w:w="2160"/>
          </w:tcPr>
          <w:p>
            <w:r/>
            <w:r>
              <w:rPr>
                <w:sz w:val="19"/>
              </w:rPr>
              <w:t>8. Feature extraction</w:t>
            </w:r>
          </w:p>
        </w:tc>
        <w:tc>
          <w:tcPr>
            <w:tcW w:type="dxa" w:w="3744"/>
          </w:tcPr>
          <w:p>
            <w:r/>
            <w:r>
              <w:rPr>
                <w:sz w:val="19"/>
              </w:rPr>
              <w:t>161 spectral/temporal + 27 physiological-event = 188 per epoch.</w:t>
            </w:r>
          </w:p>
        </w:tc>
        <w:tc>
          <w:tcPr>
            <w:tcW w:type="dxa" w:w="3456"/>
          </w:tcPr>
          <w:p>
            <w:r/>
            <w:r>
              <w:rPr>
                <w:sz w:val="19"/>
              </w:rPr>
              <w:t>The classical prior — which is what actually carries the paper's accuracy — has no input.</w:t>
            </w:r>
          </w:p>
        </w:tc>
      </w:tr>
      <w:tr>
        <w:tc>
          <w:tcPr>
            <w:tcW w:type="dxa" w:w="2160"/>
          </w:tcPr>
          <w:p>
            <w:r/>
            <w:r>
              <w:rPr>
                <w:sz w:val="19"/>
              </w:rPr>
              <w:t>9. Temporal context</w:t>
            </w:r>
          </w:p>
        </w:tc>
        <w:tc>
          <w:tcPr>
            <w:tcW w:type="dxa" w:w="3744"/>
          </w:tcPr>
          <w:p>
            <w:r/>
            <w:r>
              <w:rPr>
                <w:sz w:val="19"/>
              </w:rPr>
              <w:t>Concatenates each epoch with its ±3 neighbours, edge-padded: 188 × 7 = 1316.</w:t>
            </w:r>
          </w:p>
        </w:tc>
        <w:tc>
          <w:tcPr>
            <w:tcW w:type="dxa" w:w="3456"/>
          </w:tcPr>
          <w:p>
            <w:r/>
            <w:r>
              <w:rPr>
                <w:sz w:val="19"/>
              </w:rPr>
              <w:t>AASM scoring is contextual by definition; an isolated epoch loses the transition rules.</w:t>
            </w:r>
          </w:p>
        </w:tc>
      </w:tr>
      <w:tr>
        <w:tc>
          <w:tcPr>
            <w:tcW w:type="dxa" w:w="2160"/>
          </w:tcPr>
          <w:p>
            <w:r/>
            <w:r>
              <w:rPr>
                <w:sz w:val="19"/>
              </w:rPr>
              <w:t>10. Handoff</w:t>
            </w:r>
          </w:p>
        </w:tc>
        <w:tc>
          <w:tcPr>
            <w:tcW w:type="dxa" w:w="3744"/>
          </w:tcPr>
          <w:p>
            <w:r/>
            <w:r>
              <w:rPr>
                <w:sz w:val="19"/>
              </w:rPr>
              <w:t>Fixed array contract plus a patient-exclusive sanity check end to end.</w:t>
            </w:r>
          </w:p>
        </w:tc>
        <w:tc>
          <w:tcPr>
            <w:tcW w:type="dxa" w:w="3456"/>
          </w:tcPr>
          <w:p>
            <w:r/>
            <w:r>
              <w:rPr>
                <w:sz w:val="19"/>
              </w:rPr>
              <w:t>Silent misalignment between what I produce and what the model code assumes.</w:t>
            </w:r>
          </w:p>
        </w:tc>
      </w:tr>
    </w:tbl>
    <w:p/>
    <w:p>
      <w:pPr>
        <w:pStyle w:val="Heading1"/>
      </w:pPr>
      <w:r>
        <w:t>4. Where my work appears in the paper</w:t>
      </w:r>
    </w:p>
    <w:p>
      <w:r>
        <w:rPr>
          <w:b w:val="0"/>
          <w:i w:val="0"/>
        </w:rPr>
        <w:t>Open main.tex in Overleaf and be able to jump straight to these. Line numbers are for main.tex as submitted.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024"/>
            <w:shd w:fill="DCE6F1"/>
          </w:tcPr>
          <w:p>
            <w:r/>
            <w:r>
              <w:rPr>
                <w:b/>
                <w:sz w:val="19"/>
              </w:rPr>
              <w:t>Paper location</w:t>
            </w:r>
          </w:p>
        </w:tc>
        <w:tc>
          <w:tcPr>
            <w:tcW w:type="dxa" w:w="1008"/>
            <w:shd w:fill="DCE6F1"/>
          </w:tcPr>
          <w:p>
            <w:r/>
            <w:r>
              <w:rPr>
                <w:b/>
                <w:sz w:val="19"/>
              </w:rPr>
              <w:t>Line</w:t>
            </w:r>
          </w:p>
        </w:tc>
        <w:tc>
          <w:tcPr>
            <w:tcW w:type="dxa" w:w="4176"/>
            <w:shd w:fill="DCE6F1"/>
          </w:tcPr>
          <w:p>
            <w:r/>
            <w:r>
              <w:rPr>
                <w:b/>
                <w:sz w:val="19"/>
              </w:rPr>
              <w:t>What it is</w:t>
            </w:r>
          </w:p>
        </w:tc>
        <w:tc>
          <w:tcPr>
            <w:tcW w:type="dxa" w:w="1872"/>
            <w:shd w:fill="DCE6F1"/>
          </w:tcPr>
          <w:p>
            <w:r/>
            <w:r>
              <w:rPr>
                <w:b/>
                <w:sz w:val="19"/>
              </w:rPr>
              <w:t>Mine?</w:t>
            </w:r>
          </w:p>
        </w:tc>
      </w:tr>
      <w:tr>
        <w:tc>
          <w:tcPr>
            <w:tcW w:type="dxa" w:w="3024"/>
          </w:tcPr>
          <w:p>
            <w:r/>
            <w:r>
              <w:rPr>
                <w:sz w:val="19"/>
              </w:rPr>
              <w:t>Sec. 3.1 Dataset and preprocessing</w:t>
            </w:r>
          </w:p>
        </w:tc>
        <w:tc>
          <w:tcPr>
            <w:tcW w:type="dxa" w:w="1008"/>
          </w:tcPr>
          <w:p>
            <w:r/>
            <w:r>
              <w:rPr>
                <w:sz w:val="19"/>
              </w:rPr>
              <w:t>310–341</w:t>
            </w:r>
          </w:p>
        </w:tc>
        <w:tc>
          <w:tcPr>
            <w:tcW w:type="dxa" w:w="4176"/>
          </w:tcPr>
          <w:p>
            <w:r/>
            <w:r>
              <w:rPr>
                <w:sz w:val="19"/>
              </w:rPr>
              <w:t>Cohort description, the A1/A2→M1/M2 harmonisation paragraph, the 7-channel montage, 100 Hz / 30 s epoching, N=100→99 duplicate removal</w:t>
            </w:r>
          </w:p>
        </w:tc>
        <w:tc>
          <w:tcPr>
            <w:tcW w:type="dxa" w:w="1872"/>
          </w:tcPr>
          <w:p>
            <w:r/>
            <w:r>
              <w:rPr>
                <w:b/>
                <w:sz w:val="19"/>
              </w:rPr>
              <w:t>Entirely mine</w:t>
            </w:r>
          </w:p>
        </w:tc>
      </w:tr>
      <w:tr>
        <w:tc>
          <w:tcPr>
            <w:tcW w:type="dxa" w:w="3024"/>
          </w:tcPr>
          <w:p>
            <w:r/>
            <w:r>
              <w:rPr>
                <w:sz w:val="19"/>
              </w:rPr>
              <w:t>Table 1 (stage distribution)</w:t>
            </w:r>
          </w:p>
        </w:tc>
        <w:tc>
          <w:tcPr>
            <w:tcW w:type="dxa" w:w="1008"/>
          </w:tcPr>
          <w:p>
            <w:r/>
            <w:r>
              <w:rPr>
                <w:sz w:val="19"/>
              </w:rPr>
              <w:t>329–341</w:t>
            </w:r>
          </w:p>
        </w:tc>
        <w:tc>
          <w:tcPr>
            <w:tcW w:type="dxa" w:w="4176"/>
          </w:tcPr>
          <w:p>
            <w:r/>
            <w:r>
              <w:rPr>
                <w:sz w:val="19"/>
              </w:rPr>
              <w:t>W 26.2 / N1 9.9 / N2 41.3 / N3 8.7 / REM 11.8 %, 95,305 epochs</w:t>
            </w:r>
          </w:p>
        </w:tc>
        <w:tc>
          <w:tcPr>
            <w:tcW w:type="dxa" w:w="1872"/>
          </w:tcPr>
          <w:p>
            <w:r/>
            <w:r>
              <w:rPr>
                <w:b/>
                <w:sz w:val="19"/>
              </w:rPr>
              <w:t>Mine** — computed by my pipeline</w:t>
            </w:r>
          </w:p>
        </w:tc>
      </w:tr>
      <w:tr>
        <w:tc>
          <w:tcPr>
            <w:tcW w:type="dxa" w:w="3024"/>
          </w:tcPr>
          <w:p>
            <w:r/>
            <w:r>
              <w:rPr>
                <w:sz w:val="19"/>
              </w:rPr>
              <w:t>Sec. 3.2 Dual physiological feature representation</w:t>
            </w:r>
          </w:p>
        </w:tc>
        <w:tc>
          <w:tcPr>
            <w:tcW w:type="dxa" w:w="1008"/>
          </w:tcPr>
          <w:p>
            <w:r/>
            <w:r>
              <w:rPr>
                <w:sz w:val="19"/>
              </w:rPr>
              <w:t>343–375</w:t>
            </w:r>
          </w:p>
        </w:tc>
        <w:tc>
          <w:tcPr>
            <w:tcW w:type="dxa" w:w="4176"/>
          </w:tcPr>
          <w:p>
            <w:r/>
            <w:r>
              <w:rPr>
                <w:sz w:val="19"/>
              </w:rPr>
              <w:t>The 161 base features, the 27 event features, the spindle-detection equation, the ±3 context vector (1316-dim)</w:t>
            </w:r>
          </w:p>
        </w:tc>
        <w:tc>
          <w:tcPr>
            <w:tcW w:type="dxa" w:w="1872"/>
          </w:tcPr>
          <w:p>
            <w:r/>
            <w:r>
              <w:rPr>
                <w:b/>
                <w:sz w:val="19"/>
              </w:rPr>
              <w:t>Entirely mine</w:t>
            </w:r>
          </w:p>
        </w:tc>
      </w:tr>
      <w:tr>
        <w:tc>
          <w:tcPr>
            <w:tcW w:type="dxa" w:w="3024"/>
          </w:tcPr>
          <w:p>
            <w:r/>
            <w:r>
              <w:rPr>
                <w:sz w:val="19"/>
              </w:rPr>
              <w:t>Fig. 1 pipeline diagram, stages (i)–(ii)</w:t>
            </w:r>
          </w:p>
        </w:tc>
        <w:tc>
          <w:tcPr>
            <w:tcW w:type="dxa" w:w="1008"/>
          </w:tcPr>
          <w:p>
            <w:r/>
            <w:r>
              <w:rPr>
                <w:sz w:val="19"/>
              </w:rPr>
              <w:t>281</w:t>
            </w:r>
          </w:p>
        </w:tc>
        <w:tc>
          <w:tcPr>
            <w:tcW w:type="dxa" w:w="4176"/>
          </w:tcPr>
          <w:p>
            <w:r/>
            <w:r>
              <w:rPr>
                <w:sz w:val="19"/>
              </w:rPr>
              <w:t>'montage harmonization and epoching' and the feature block</w:t>
            </w:r>
          </w:p>
        </w:tc>
        <w:tc>
          <w:tcPr>
            <w:tcW w:type="dxa" w:w="1872"/>
          </w:tcPr>
          <w:p>
            <w:r/>
            <w:r>
              <w:rPr>
                <w:b/>
                <w:sz w:val="19"/>
              </w:rPr>
              <w:t>Mine</w:t>
            </w:r>
          </w:p>
        </w:tc>
      </w:tr>
      <w:tr>
        <w:tc>
          <w:tcPr>
            <w:tcW w:type="dxa" w:w="3024"/>
          </w:tcPr>
          <w:p>
            <w:r/>
            <w:r>
              <w:rPr>
                <w:sz w:val="19"/>
              </w:rPr>
              <w:t>Table 3 ablation, upper block</w:t>
            </w:r>
          </w:p>
        </w:tc>
        <w:tc>
          <w:tcPr>
            <w:tcW w:type="dxa" w:w="1008"/>
          </w:tcPr>
          <w:p>
            <w:r/>
            <w:r>
              <w:rPr>
                <w:sz w:val="19"/>
              </w:rPr>
              <w:t>605–620</w:t>
            </w:r>
          </w:p>
        </w:tc>
        <w:tc>
          <w:tcPr>
            <w:tcW w:type="dxa" w:w="4176"/>
          </w:tcPr>
          <w:p>
            <w:r/>
            <w:r>
              <w:rPr>
                <w:sz w:val="19"/>
              </w:rPr>
              <w:t>39→99 subjects, 4 EEG→7 channels, +event features</w:t>
            </w:r>
          </w:p>
        </w:tc>
        <w:tc>
          <w:tcPr>
            <w:tcW w:type="dxa" w:w="1872"/>
          </w:tcPr>
          <w:p>
            <w:r/>
            <w:r>
              <w:rPr>
                <w:b/>
                <w:sz w:val="19"/>
              </w:rPr>
              <w:t>Mine** — this block is the measured value of the processing stage</w:t>
            </w:r>
          </w:p>
        </w:tc>
      </w:tr>
      <w:tr>
        <w:tc>
          <w:tcPr>
            <w:tcW w:type="dxa" w:w="3024"/>
          </w:tcPr>
          <w:p>
            <w:r/>
            <w:r>
              <w:rPr>
                <w:sz w:val="19"/>
              </w:rPr>
              <w:t>Fig. 5 feature importances</w:t>
            </w:r>
          </w:p>
        </w:tc>
        <w:tc>
          <w:tcPr>
            <w:tcW w:type="dxa" w:w="1008"/>
          </w:tcPr>
          <w:p>
            <w:r/>
            <w:r>
              <w:rPr>
                <w:sz w:val="19"/>
              </w:rPr>
              <w:t>683</w:t>
            </w:r>
          </w:p>
        </w:tc>
        <w:tc>
          <w:tcPr>
            <w:tcW w:type="dxa" w:w="4176"/>
          </w:tcPr>
          <w:p>
            <w:r/>
            <w:r>
              <w:rPr>
                <w:sz w:val="19"/>
              </w:rPr>
              <w:t>Spindle (sigma) power, delta power, EOG/EMG lead the ranking — all features I designed</w:t>
            </w:r>
          </w:p>
        </w:tc>
        <w:tc>
          <w:tcPr>
            <w:tcW w:type="dxa" w:w="1872"/>
          </w:tcPr>
          <w:p>
            <w:r/>
            <w:r>
              <w:rPr>
                <w:b/>
                <w:sz w:val="19"/>
              </w:rPr>
              <w:t>Mine</w:t>
            </w:r>
          </w:p>
        </w:tc>
      </w:tr>
      <w:tr>
        <w:tc>
          <w:tcPr>
            <w:tcW w:type="dxa" w:w="3024"/>
          </w:tcPr>
          <w:p>
            <w:r/>
            <w:r>
              <w:rPr>
                <w:sz w:val="19"/>
              </w:rPr>
              <w:t>Sec. 4 Implementation ('Preprocessing uses MNE-Python; features use SciPy')</w:t>
            </w:r>
          </w:p>
        </w:tc>
        <w:tc>
          <w:tcPr>
            <w:tcW w:type="dxa" w:w="1008"/>
          </w:tcPr>
          <w:p>
            <w:r/>
            <w:r>
              <w:rPr>
                <w:sz w:val="19"/>
              </w:rPr>
              <w:t>497–500</w:t>
            </w:r>
          </w:p>
        </w:tc>
        <w:tc>
          <w:tcPr>
            <w:tcW w:type="dxa" w:w="4176"/>
          </w:tcPr>
          <w:p>
            <w:r/>
            <w:r>
              <w:rPr>
                <w:sz w:val="19"/>
              </w:rPr>
              <w:t>The tooling sentence</w:t>
            </w:r>
          </w:p>
        </w:tc>
        <w:tc>
          <w:tcPr>
            <w:tcW w:type="dxa" w:w="1872"/>
          </w:tcPr>
          <w:p>
            <w:r/>
            <w:r>
              <w:rPr>
                <w:b/>
                <w:sz w:val="19"/>
              </w:rPr>
              <w:t>Mine</w:t>
            </w:r>
          </w:p>
        </w:tc>
      </w:tr>
      <w:tr>
        <w:tc>
          <w:tcPr>
            <w:tcW w:type="dxa" w:w="3024"/>
          </w:tcPr>
          <w:p>
            <w:r/>
            <w:r>
              <w:rPr>
                <w:sz w:val="19"/>
              </w:rPr>
              <w:t>Sec. 3.3 HAG-Net architecture, Sec. 4 protocol, all model results</w:t>
            </w:r>
          </w:p>
        </w:tc>
        <w:tc>
          <w:tcPr>
            <w:tcW w:type="dxa" w:w="1008"/>
          </w:tcPr>
          <w:p>
            <w:r/>
            <w:r>
              <w:rPr>
                <w:sz w:val="19"/>
              </w:rPr>
              <w:t>376–477, 540+</w:t>
            </w:r>
          </w:p>
        </w:tc>
        <w:tc>
          <w:tcPr>
            <w:tcW w:type="dxa" w:w="4176"/>
          </w:tcPr>
          <w:p>
            <w:r/>
            <w:r>
              <w:rPr>
                <w:sz w:val="19"/>
              </w:rPr>
              <w:t>Graph stream, SSM decoder, fusion, HMM, conformal head, biomarker</w:t>
            </w:r>
          </w:p>
        </w:tc>
        <w:tc>
          <w:tcPr>
            <w:tcW w:type="dxa" w:w="1872"/>
          </w:tcPr>
          <w:p>
            <w:r/>
            <w:r>
              <w:rPr>
                <w:sz w:val="19"/>
              </w:rPr>
              <w:t>Teammates — know what they do, do not claim them</w:t>
            </w:r>
          </w:p>
        </w:tc>
      </w:tr>
    </w:tbl>
    <w:p/>
    <w:p>
      <w:pPr>
        <w:pStyle w:val="Heading2"/>
      </w:pPr>
      <w:r>
        <w:t>The ablation table — memorise this</w:t>
      </w:r>
    </w:p>
    <w:p>
      <w:r>
        <w:rPr>
          <w:b w:val="0"/>
          <w:i w:val="0"/>
        </w:rPr>
        <w:t>Table 3, upper block. Read it top to bottom and the story tells itself.</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736"/>
            <w:shd w:fill="DCE6F1"/>
          </w:tcPr>
          <w:p>
            <w:r/>
            <w:r>
              <w:rPr>
                <w:b/>
                <w:sz w:val="19"/>
              </w:rPr>
              <w:t>Configuration</w:t>
            </w:r>
          </w:p>
        </w:tc>
        <w:tc>
          <w:tcPr>
            <w:tcW w:type="dxa" w:w="1008"/>
            <w:shd w:fill="DCE6F1"/>
          </w:tcPr>
          <w:p>
            <w:r/>
            <w:r>
              <w:rPr>
                <w:b/>
                <w:sz w:val="19"/>
              </w:rPr>
              <w:t>Subjects</w:t>
            </w:r>
          </w:p>
        </w:tc>
        <w:tc>
          <w:tcPr>
            <w:tcW w:type="dxa" w:w="1152"/>
            <w:shd w:fill="DCE6F1"/>
          </w:tcPr>
          <w:p>
            <w:r/>
            <w:r>
              <w:rPr>
                <w:b/>
                <w:sz w:val="19"/>
              </w:rPr>
              <w:t>Accuracy</w:t>
            </w:r>
          </w:p>
        </w:tc>
        <w:tc>
          <w:tcPr>
            <w:tcW w:type="dxa" w:w="1152"/>
            <w:shd w:fill="DCE6F1"/>
          </w:tcPr>
          <w:p>
            <w:r/>
            <w:r>
              <w:rPr>
                <w:b/>
                <w:sz w:val="19"/>
              </w:rPr>
              <w:t>Macro-F1</w:t>
            </w:r>
          </w:p>
        </w:tc>
        <w:tc>
          <w:tcPr>
            <w:tcW w:type="dxa" w:w="2880"/>
            <w:shd w:fill="DCE6F1"/>
          </w:tcPr>
          <w:p>
            <w:r/>
            <w:r>
              <w:rPr>
                <w:b/>
                <w:sz w:val="19"/>
              </w:rPr>
              <w:t>What changed</w:t>
            </w:r>
          </w:p>
        </w:tc>
      </w:tr>
      <w:tr>
        <w:tc>
          <w:tcPr>
            <w:tcW w:type="dxa" w:w="2736"/>
          </w:tcPr>
          <w:p>
            <w:r/>
            <w:r>
              <w:rPr>
                <w:sz w:val="19"/>
              </w:rPr>
              <w:t>Deep CNN+BiLSTM, 4 EEG</w:t>
            </w:r>
          </w:p>
        </w:tc>
        <w:tc>
          <w:tcPr>
            <w:tcW w:type="dxa" w:w="1008"/>
          </w:tcPr>
          <w:p>
            <w:r/>
            <w:r>
              <w:rPr>
                <w:sz w:val="19"/>
              </w:rPr>
              <w:t>39</w:t>
            </w:r>
          </w:p>
        </w:tc>
        <w:tc>
          <w:tcPr>
            <w:tcW w:type="dxa" w:w="1152"/>
          </w:tcPr>
          <w:p>
            <w:r/>
            <w:r>
              <w:rPr>
                <w:sz w:val="19"/>
              </w:rPr>
              <w:t>0.626</w:t>
            </w:r>
          </w:p>
        </w:tc>
        <w:tc>
          <w:tcPr>
            <w:tcW w:type="dxa" w:w="1152"/>
          </w:tcPr>
          <w:p>
            <w:r/>
            <w:r>
              <w:rPr>
                <w:sz w:val="19"/>
              </w:rPr>
              <w:t>0.578</w:t>
            </w:r>
          </w:p>
        </w:tc>
        <w:tc>
          <w:tcPr>
            <w:tcW w:type="dxa" w:w="2880"/>
          </w:tcPr>
          <w:p>
            <w:r/>
            <w:r>
              <w:rPr>
                <w:sz w:val="19"/>
              </w:rPr>
              <w:t>3.7 M-parameter deep net</w:t>
            </w:r>
          </w:p>
        </w:tc>
      </w:tr>
      <w:tr>
        <w:tc>
          <w:tcPr>
            <w:tcW w:type="dxa" w:w="2736"/>
          </w:tcPr>
          <w:p>
            <w:r/>
            <w:r>
              <w:rPr>
                <w:sz w:val="19"/>
              </w:rPr>
              <w:t>Classical prior, 4 EEG</w:t>
            </w:r>
          </w:p>
        </w:tc>
        <w:tc>
          <w:tcPr>
            <w:tcW w:type="dxa" w:w="1008"/>
          </w:tcPr>
          <w:p>
            <w:r/>
            <w:r>
              <w:rPr>
                <w:sz w:val="19"/>
              </w:rPr>
              <w:t>39</w:t>
            </w:r>
          </w:p>
        </w:tc>
        <w:tc>
          <w:tcPr>
            <w:tcW w:type="dxa" w:w="1152"/>
          </w:tcPr>
          <w:p>
            <w:r/>
            <w:r>
              <w:rPr>
                <w:sz w:val="19"/>
              </w:rPr>
              <w:t>0.663</w:t>
            </w:r>
          </w:p>
        </w:tc>
        <w:tc>
          <w:tcPr>
            <w:tcW w:type="dxa" w:w="1152"/>
          </w:tcPr>
          <w:p>
            <w:r/>
            <w:r>
              <w:rPr>
                <w:sz w:val="19"/>
              </w:rPr>
              <w:t>0.550</w:t>
            </w:r>
          </w:p>
        </w:tc>
        <w:tc>
          <w:tcPr>
            <w:tcW w:type="dxa" w:w="2880"/>
          </w:tcPr>
          <w:p>
            <w:r/>
            <w:r>
              <w:rPr>
                <w:sz w:val="19"/>
              </w:rPr>
              <w:t>baseline features</w:t>
            </w:r>
          </w:p>
        </w:tc>
      </w:tr>
      <w:tr>
        <w:tc>
          <w:tcPr>
            <w:tcW w:type="dxa" w:w="2736"/>
          </w:tcPr>
          <w:p>
            <w:r/>
            <w:r>
              <w:rPr>
                <w:sz w:val="19"/>
              </w:rPr>
              <w:t>Classical prior, 4 EEG</w:t>
            </w:r>
          </w:p>
        </w:tc>
        <w:tc>
          <w:tcPr>
            <w:tcW w:type="dxa" w:w="1008"/>
          </w:tcPr>
          <w:p>
            <w:r/>
            <w:r>
              <w:rPr>
                <w:sz w:val="19"/>
              </w:rPr>
              <w:t>99</w:t>
            </w:r>
          </w:p>
        </w:tc>
        <w:tc>
          <w:tcPr>
            <w:tcW w:type="dxa" w:w="1152"/>
          </w:tcPr>
          <w:p>
            <w:r/>
            <w:r>
              <w:rPr>
                <w:b/>
                <w:sz w:val="19"/>
              </w:rPr>
              <w:t>0.727</w:t>
            </w:r>
          </w:p>
        </w:tc>
        <w:tc>
          <w:tcPr>
            <w:tcW w:type="dxa" w:w="1152"/>
          </w:tcPr>
          <w:p>
            <w:r/>
            <w:r>
              <w:rPr>
                <w:b/>
                <w:sz w:val="19"/>
              </w:rPr>
              <w:t>0.644</w:t>
            </w:r>
          </w:p>
        </w:tc>
        <w:tc>
          <w:tcPr>
            <w:tcW w:type="dxa" w:w="2880"/>
          </w:tcPr>
          <w:p>
            <w:r/>
            <w:r>
              <w:rPr>
                <w:b/>
                <w:sz w:val="19"/>
              </w:rPr>
              <w:t>+60 subjects — my harmonisation</w:t>
            </w:r>
          </w:p>
        </w:tc>
      </w:tr>
      <w:tr>
        <w:tc>
          <w:tcPr>
            <w:tcW w:type="dxa" w:w="2736"/>
          </w:tcPr>
          <w:p>
            <w:r/>
            <w:r>
              <w:rPr>
                <w:sz w:val="19"/>
              </w:rPr>
              <w:t>Classical prior, 7 channels</w:t>
            </w:r>
          </w:p>
        </w:tc>
        <w:tc>
          <w:tcPr>
            <w:tcW w:type="dxa" w:w="1008"/>
          </w:tcPr>
          <w:p>
            <w:r/>
            <w:r>
              <w:rPr>
                <w:sz w:val="19"/>
              </w:rPr>
              <w:t>99</w:t>
            </w:r>
          </w:p>
        </w:tc>
        <w:tc>
          <w:tcPr>
            <w:tcW w:type="dxa" w:w="1152"/>
          </w:tcPr>
          <w:p>
            <w:r/>
            <w:r>
              <w:rPr>
                <w:b/>
                <w:sz w:val="19"/>
              </w:rPr>
              <w:t>0.742</w:t>
            </w:r>
          </w:p>
        </w:tc>
        <w:tc>
          <w:tcPr>
            <w:tcW w:type="dxa" w:w="1152"/>
          </w:tcPr>
          <w:p>
            <w:r/>
            <w:r>
              <w:rPr>
                <w:b/>
                <w:sz w:val="19"/>
              </w:rPr>
              <w:t>0.668</w:t>
            </w:r>
          </w:p>
        </w:tc>
        <w:tc>
          <w:tcPr>
            <w:tcW w:type="dxa" w:w="2880"/>
          </w:tcPr>
          <w:p>
            <w:r/>
            <w:r>
              <w:rPr>
                <w:b/>
                <w:sz w:val="19"/>
              </w:rPr>
              <w:t>+EOG/EMG — my montage</w:t>
            </w:r>
          </w:p>
        </w:tc>
      </w:tr>
      <w:tr>
        <w:tc>
          <w:tcPr>
            <w:tcW w:type="dxa" w:w="2736"/>
          </w:tcPr>
          <w:p>
            <w:r/>
            <w:r>
              <w:rPr>
                <w:sz w:val="19"/>
              </w:rPr>
              <w:t>Classical prior, 7 ch + event feats</w:t>
            </w:r>
          </w:p>
        </w:tc>
        <w:tc>
          <w:tcPr>
            <w:tcW w:type="dxa" w:w="1008"/>
          </w:tcPr>
          <w:p>
            <w:r/>
            <w:r>
              <w:rPr>
                <w:sz w:val="19"/>
              </w:rPr>
              <w:t>99</w:t>
            </w:r>
          </w:p>
        </w:tc>
        <w:tc>
          <w:tcPr>
            <w:tcW w:type="dxa" w:w="1152"/>
          </w:tcPr>
          <w:p>
            <w:r/>
            <w:r>
              <w:rPr>
                <w:b/>
                <w:sz w:val="19"/>
              </w:rPr>
              <w:t>0.746</w:t>
            </w:r>
          </w:p>
        </w:tc>
        <w:tc>
          <w:tcPr>
            <w:tcW w:type="dxa" w:w="1152"/>
          </w:tcPr>
          <w:p>
            <w:r/>
            <w:r>
              <w:rPr>
                <w:b/>
                <w:sz w:val="19"/>
              </w:rPr>
              <w:t>0.675</w:t>
            </w:r>
          </w:p>
        </w:tc>
        <w:tc>
          <w:tcPr>
            <w:tcW w:type="dxa" w:w="2880"/>
          </w:tcPr>
          <w:p>
            <w:r/>
            <w:r>
              <w:rPr>
                <w:b/>
                <w:sz w:val="19"/>
              </w:rPr>
              <w:t>+27 event features — mine</w:t>
            </w:r>
          </w:p>
        </w:tc>
      </w:tr>
      <w:tr>
        <w:tc>
          <w:tcPr>
            <w:tcW w:type="dxa" w:w="2736"/>
          </w:tcPr>
          <w:p>
            <w:r/>
            <w:r>
              <w:rPr>
                <w:sz w:val="19"/>
              </w:rPr>
              <w:t>+ graph/SSM streams</w:t>
            </w:r>
          </w:p>
        </w:tc>
        <w:tc>
          <w:tcPr>
            <w:tcW w:type="dxa" w:w="1008"/>
          </w:tcPr>
          <w:p>
            <w:r/>
            <w:r>
              <w:rPr>
                <w:sz w:val="19"/>
              </w:rPr>
              <w:t>99</w:t>
            </w:r>
          </w:p>
        </w:tc>
        <w:tc>
          <w:tcPr>
            <w:tcW w:type="dxa" w:w="1152"/>
          </w:tcPr>
          <w:p>
            <w:r/>
            <w:r>
              <w:rPr>
                <w:sz w:val="19"/>
              </w:rPr>
              <w:t>0.746</w:t>
            </w:r>
          </w:p>
        </w:tc>
        <w:tc>
          <w:tcPr>
            <w:tcW w:type="dxa" w:w="1152"/>
          </w:tcPr>
          <w:p>
            <w:r/>
            <w:r>
              <w:rPr>
                <w:sz w:val="19"/>
              </w:rPr>
              <w:t>0.675</w:t>
            </w:r>
          </w:p>
        </w:tc>
        <w:tc>
          <w:tcPr>
            <w:tcW w:type="dxa" w:w="2880"/>
          </w:tcPr>
          <w:p>
            <w:r/>
            <w:r>
              <w:rPr>
                <w:sz w:val="19"/>
              </w:rPr>
              <w:t>deep streams add nothing</w:t>
            </w:r>
          </w:p>
        </w:tc>
      </w:tr>
    </w:tbl>
    <w:p/>
    <w:p>
      <w:r>
        <w:rPr>
          <w:b/>
          <w:i w:val="0"/>
        </w:rPr>
        <w:t>Net effect of the processing stage: accuracy 0.663 → 0.746 (+8.3 points), macro-F1 0.550 → 0.675 (+12.5 points). Net effect of the deep streams: 0.000.</w:t>
      </w:r>
    </w:p>
    <w:p>
      <w:pPr>
        <w:pStyle w:val="Heading1"/>
      </w:pPr>
      <w:r>
        <w:t>5. Numbers to have on the tip of your tongue</w:t>
      </w:r>
    </w:p>
    <w:tbl>
      <w:tblPr>
        <w:tblStyle w:val="TableGrid"/>
        <w:tblW w:type="auto" w:w="0"/>
        <w:jc w:val="center"/>
        <w:tblLook w:firstColumn="1" w:firstRow="1" w:lastColumn="0" w:lastRow="0" w:noHBand="0" w:noVBand="1" w:val="04A0"/>
      </w:tblPr>
      <w:tblGrid>
        <w:gridCol w:w="4320"/>
        <w:gridCol w:w="4320"/>
      </w:tblGrid>
      <w:tr>
        <w:tc>
          <w:tcPr>
            <w:tcW w:type="dxa" w:w="2448"/>
            <w:shd w:fill="DCE6F1"/>
          </w:tcPr>
          <w:p>
            <w:r/>
            <w:r>
              <w:rPr>
                <w:b/>
                <w:sz w:val="19"/>
              </w:rPr>
              <w:t>Quantity</w:t>
            </w:r>
          </w:p>
        </w:tc>
        <w:tc>
          <w:tcPr>
            <w:tcW w:type="dxa" w:w="6912"/>
            <w:shd w:fill="DCE6F1"/>
          </w:tcPr>
          <w:p>
            <w:r/>
            <w:r>
              <w:rPr>
                <w:b/>
                <w:sz w:val="19"/>
              </w:rPr>
              <w:t>Value</w:t>
            </w:r>
          </w:p>
        </w:tc>
      </w:tr>
      <w:tr>
        <w:tc>
          <w:tcPr>
            <w:tcW w:type="dxa" w:w="2448"/>
          </w:tcPr>
          <w:p>
            <w:r/>
            <w:r>
              <w:rPr>
                <w:sz w:val="19"/>
              </w:rPr>
              <w:t>Cohort</w:t>
            </w:r>
          </w:p>
        </w:tc>
        <w:tc>
          <w:tcPr>
            <w:tcW w:type="dxa" w:w="6912"/>
          </w:tcPr>
          <w:p>
            <w:r/>
            <w:r>
              <w:rPr>
                <w:sz w:val="19"/>
              </w:rPr>
              <w:t>100 subacute ischemic-stroke patients, mean age 50.5, 77 M / 23 F, NIMHANS Bengaluru</w:t>
            </w:r>
          </w:p>
        </w:tc>
      </w:tr>
      <w:tr>
        <w:tc>
          <w:tcPr>
            <w:tcW w:type="dxa" w:w="2448"/>
          </w:tcPr>
          <w:p>
            <w:r/>
            <w:r>
              <w:rPr>
                <w:sz w:val="19"/>
              </w:rPr>
              <w:t>Usable subjects</w:t>
            </w:r>
          </w:p>
        </w:tc>
        <w:tc>
          <w:tcPr>
            <w:tcW w:type="dxa" w:w="6912"/>
          </w:tcPr>
          <w:p>
            <w:r/>
            <w:r>
              <w:rPr>
                <w:sz w:val="19"/>
              </w:rPr>
              <w:t>99 — SN28 is a byte-identical duplicate of SN15 and is dropped</w:t>
            </w:r>
          </w:p>
        </w:tc>
      </w:tr>
      <w:tr>
        <w:tc>
          <w:tcPr>
            <w:tcW w:type="dxa" w:w="2448"/>
          </w:tcPr>
          <w:p>
            <w:r/>
            <w:r>
              <w:rPr>
                <w:sz w:val="19"/>
              </w:rPr>
              <w:t>Total epochs (paper)</w:t>
            </w:r>
          </w:p>
        </w:tc>
        <w:tc>
          <w:tcPr>
            <w:tcW w:type="dxa" w:w="6912"/>
          </w:tcPr>
          <w:p>
            <w:r/>
            <w:r>
              <w:rPr>
                <w:sz w:val="19"/>
              </w:rPr>
              <w:t>95,305 scored 30-second epochs</w:t>
            </w:r>
          </w:p>
        </w:tc>
      </w:tr>
      <w:tr>
        <w:tc>
          <w:tcPr>
            <w:tcW w:type="dxa" w:w="2448"/>
          </w:tcPr>
          <w:p>
            <w:r/>
            <w:r>
              <w:rPr>
                <w:sz w:val="19"/>
              </w:rPr>
              <w:t>Stage distribution</w:t>
            </w:r>
          </w:p>
        </w:tc>
        <w:tc>
          <w:tcPr>
            <w:tcW w:type="dxa" w:w="6912"/>
          </w:tcPr>
          <w:p>
            <w:r/>
            <w:r>
              <w:rPr>
                <w:sz w:val="19"/>
              </w:rPr>
              <w:t>W 26.2 %, N1 9.9 %, N2 41.3 %, N3 8.7 %, REM 11.8 %</w:t>
            </w:r>
          </w:p>
        </w:tc>
      </w:tr>
      <w:tr>
        <w:tc>
          <w:tcPr>
            <w:tcW w:type="dxa" w:w="2448"/>
          </w:tcPr>
          <w:p>
            <w:r/>
            <w:r>
              <w:rPr>
                <w:sz w:val="19"/>
              </w:rPr>
              <w:t>Epoch geometry</w:t>
            </w:r>
          </w:p>
        </w:tc>
        <w:tc>
          <w:tcPr>
            <w:tcW w:type="dxa" w:w="6912"/>
          </w:tcPr>
          <w:p>
            <w:r/>
            <w:r>
              <w:rPr>
                <w:sz w:val="19"/>
              </w:rPr>
              <w:t>30 s at 100 Hz = 3000 samples, 7 channels</w:t>
            </w:r>
          </w:p>
        </w:tc>
      </w:tr>
      <w:tr>
        <w:tc>
          <w:tcPr>
            <w:tcW w:type="dxa" w:w="2448"/>
          </w:tcPr>
          <w:p>
            <w:r/>
            <w:r>
              <w:rPr>
                <w:sz w:val="19"/>
              </w:rPr>
              <w:t>Montage</w:t>
            </w:r>
          </w:p>
        </w:tc>
        <w:tc>
          <w:tcPr>
            <w:tcW w:type="dxa" w:w="6912"/>
          </w:tcPr>
          <w:p>
            <w:r/>
            <w:r>
              <w:rPr>
                <w:sz w:val="19"/>
              </w:rPr>
              <w:t>C4:M1, C3:M2, O2:M1, O1:M2 (EEG) + E1:M2, E2:M2 (EOG) + EMG (submental)</w:t>
            </w:r>
          </w:p>
        </w:tc>
      </w:tr>
      <w:tr>
        <w:tc>
          <w:tcPr>
            <w:tcW w:type="dxa" w:w="2448"/>
          </w:tcPr>
          <w:p>
            <w:r/>
            <w:r>
              <w:rPr>
                <w:sz w:val="19"/>
              </w:rPr>
              <w:t>Original sampling rate</w:t>
            </w:r>
          </w:p>
        </w:tc>
        <w:tc>
          <w:tcPr>
            <w:tcW w:type="dxa" w:w="6912"/>
          </w:tcPr>
          <w:p>
            <w:r/>
            <w:r>
              <w:rPr>
                <w:sz w:val="19"/>
              </w:rPr>
              <w:t>256 Hz in the release, resampled to 100 Hz</w:t>
            </w:r>
          </w:p>
        </w:tc>
      </w:tr>
      <w:tr>
        <w:tc>
          <w:tcPr>
            <w:tcW w:type="dxa" w:w="2448"/>
          </w:tcPr>
          <w:p>
            <w:r/>
            <w:r>
              <w:rPr>
                <w:sz w:val="19"/>
              </w:rPr>
              <w:t>Features per epoch</w:t>
            </w:r>
          </w:p>
        </w:tc>
        <w:tc>
          <w:tcPr>
            <w:tcW w:type="dxa" w:w="6912"/>
          </w:tcPr>
          <w:p>
            <w:r/>
            <w:r>
              <w:rPr>
                <w:sz w:val="19"/>
              </w:rPr>
              <w:t>188 = 161 base (23 per channel × 7) + 27 event</w:t>
            </w:r>
          </w:p>
        </w:tc>
      </w:tr>
      <w:tr>
        <w:tc>
          <w:tcPr>
            <w:tcW w:type="dxa" w:w="2448"/>
          </w:tcPr>
          <w:p>
            <w:r/>
            <w:r>
              <w:rPr>
                <w:sz w:val="19"/>
              </w:rPr>
              <w:t>Context vector</w:t>
            </w:r>
          </w:p>
        </w:tc>
        <w:tc>
          <w:tcPr>
            <w:tcW w:type="dxa" w:w="6912"/>
          </w:tcPr>
          <w:p>
            <w:r/>
            <w:r>
              <w:rPr>
                <w:sz w:val="19"/>
              </w:rPr>
              <w:t>188 × 7 = 1316 (epoch ± 3 neighbours, edge-padded)</w:t>
            </w:r>
          </w:p>
        </w:tc>
      </w:tr>
      <w:tr>
        <w:tc>
          <w:tcPr>
            <w:tcW w:type="dxa" w:w="2448"/>
          </w:tcPr>
          <w:p>
            <w:r/>
            <w:r>
              <w:rPr>
                <w:sz w:val="19"/>
              </w:rPr>
              <w:t>Frequency bands</w:t>
            </w:r>
          </w:p>
        </w:tc>
        <w:tc>
          <w:tcPr>
            <w:tcW w:type="dxa" w:w="6912"/>
          </w:tcPr>
          <w:p>
            <w:r/>
            <w:r>
              <w:rPr>
                <w:sz w:val="19"/>
              </w:rPr>
              <w:t>delta 0.5–4, theta 4–8, alpha 8–13, sigma 11–16, beta 16–30 Hz</w:t>
            </w:r>
          </w:p>
        </w:tc>
      </w:tr>
      <w:tr>
        <w:tc>
          <w:tcPr>
            <w:tcW w:type="dxa" w:w="2448"/>
          </w:tcPr>
          <w:p>
            <w:r/>
            <w:r>
              <w:rPr>
                <w:sz w:val="19"/>
              </w:rPr>
              <w:t>Label map</w:t>
            </w:r>
          </w:p>
        </w:tc>
        <w:tc>
          <w:tcPr>
            <w:tcW w:type="dxa" w:w="6912"/>
          </w:tcPr>
          <w:p>
            <w:r/>
            <w:r>
              <w:rPr>
                <w:sz w:val="19"/>
              </w:rPr>
              <w:t>W=0, N1=1, N2=2, N3=3, REM(R)=4</w:t>
            </w:r>
          </w:p>
        </w:tc>
      </w:tr>
      <w:tr>
        <w:tc>
          <w:tcPr>
            <w:tcW w:type="dxa" w:w="2448"/>
          </w:tcPr>
          <w:p>
            <w:r/>
            <w:r>
              <w:rPr>
                <w:sz w:val="19"/>
              </w:rPr>
              <w:t>Evaluation protocol</w:t>
            </w:r>
          </w:p>
        </w:tc>
        <w:tc>
          <w:tcPr>
            <w:tcW w:type="dxa" w:w="6912"/>
          </w:tcPr>
          <w:p>
            <w:r/>
            <w:r>
              <w:rPr>
                <w:sz w:val="19"/>
              </w:rPr>
              <w:t>patient-exclusive 10-fold subject-independent CV; 8 subjects held out per split</w:t>
            </w:r>
          </w:p>
        </w:tc>
      </w:tr>
      <w:tr>
        <w:tc>
          <w:tcPr>
            <w:tcW w:type="dxa" w:w="2448"/>
          </w:tcPr>
          <w:p>
            <w:r/>
            <w:r>
              <w:rPr>
                <w:sz w:val="19"/>
              </w:rPr>
              <w:t>Public data availability</w:t>
            </w:r>
          </w:p>
        </w:tc>
        <w:tc>
          <w:tcPr>
            <w:tcW w:type="dxa" w:w="6912"/>
          </w:tcPr>
          <w:p>
            <w:r/>
            <w:r>
              <w:rPr>
                <w:sz w:val="19"/>
              </w:rPr>
              <w:t>40 of 100 subjects on Zenodo (10.5281/zenodo.14873844); the other 60 need registration at india-data.org</w:t>
            </w:r>
          </w:p>
        </w:tc>
      </w:tr>
      <w:tr>
        <w:tc>
          <w:tcPr>
            <w:tcW w:type="dxa" w:w="2448"/>
          </w:tcPr>
          <w:p>
            <w:r/>
            <w:r>
              <w:rPr>
                <w:sz w:val="19"/>
              </w:rPr>
              <w:t>This notebook's run</w:t>
            </w:r>
          </w:p>
        </w:tc>
        <w:tc>
          <w:tcPr>
            <w:tcW w:type="dxa" w:w="6912"/>
          </w:tcPr>
          <w:p>
            <w:r/>
            <w:r>
              <w:rPr>
                <w:sz w:val="19"/>
              </w:rPr>
              <w:t>5 subjects available locally, 4,428 epochs, 37 recorded hours</w:t>
            </w:r>
          </w:p>
        </w:tc>
      </w:tr>
    </w:tbl>
    <w:p/>
    <w:p>
      <w:pPr>
        <w:pStyle w:val="Heading1"/>
      </w:pPr>
      <w:r>
        <w:t>6. Design decisions and the reasoning behind them</w:t>
      </w:r>
    </w:p>
    <w:p>
      <w:r>
        <w:rPr>
          <w:b w:val="0"/>
          <w:i w:val="0"/>
        </w:rPr>
        <w:t>Every one of these is a plausible viva question of the form “why did you do it that way?”</w:t>
      </w:r>
    </w:p>
    <w:p>
      <w:pPr>
        <w:pStyle w:val="Heading2"/>
      </w:pPr>
      <w:r>
        <w:t>Why rename A1/A2 to M1/M2 instead of re-referencing?</w:t>
      </w:r>
    </w:p>
    <w:p>
      <w:r>
        <w:rPr>
          <w:b w:val="0"/>
          <w:i w:val="0"/>
        </w:rPr>
        <w:t>A1/A2 are the earlobe electrodes and M1/M2 are the mastoids — adjacent scalp sites with near-identical potentials, which is why the AASM manual accepts either. The difference is a naming convention from two acquisition eras in the same lab, not a different measurement. A true re-reference would require the original common-reference recording, which the release does not ship. The rename is applied only when the target name is absent, so a subject that somehow has both never gets a collision.</w:t>
      </w:r>
    </w:p>
    <w:p>
      <w:pPr>
        <w:pStyle w:val="Heading2"/>
      </w:pPr>
      <w:r>
        <w:t>Why exclude the frontal derivations (F3/F4)?</w:t>
      </w:r>
    </w:p>
    <w:p>
      <w:r>
        <w:rPr>
          <w:b w:val="0"/>
          <w:i w:val="0"/>
        </w:rPr>
        <w:t>They exist in only a minority of subjects. Including them would either shrink the cohort to those subjects or force per-subject variable channel counts, which breaks the fixed tensor shape that subject-independent cross-validation needs. Ironically, this is also the montage difference behind the domain-gap result in Section 5.6 — Sleep-EDF is frontal, iSLEEPS is central-occipital.</w:t>
      </w:r>
    </w:p>
    <w:p>
      <w:pPr>
        <w:pStyle w:val="Heading2"/>
      </w:pPr>
      <w:r>
        <w:t>Why 7 channels and not just EEG?</w:t>
      </w:r>
    </w:p>
    <w:p>
      <w:r>
        <w:rPr>
          <w:b w:val="0"/>
          <w:i w:val="0"/>
        </w:rPr>
        <w:t>REM is defined by two things EEG alone cannot see: rapid eye movements (EOG) and muscle atonia (submental EMG). A single-channel EEG stager is structurally unable to separate REM from N1. The ablation quantifies it: adding EOG and EMG lifts accuracy 0.727 → 0.742 and macro-F1 0.644 → 0.668, and the gain is concentrated in REM.</w:t>
      </w:r>
    </w:p>
    <w:p>
      <w:pPr>
        <w:pStyle w:val="Heading2"/>
      </w:pPr>
      <w:r>
        <w:t>Why 100 Hz?</w:t>
      </w:r>
    </w:p>
    <w:p>
      <w:r>
        <w:rPr>
          <w:b w:val="0"/>
          <w:i w:val="0"/>
        </w:rPr>
        <w:t>Every phenomenon AASM scoring depends on lies below 30 Hz — slow waves at 0.5–4, spindles at 11–16, beta to 30. By Nyquist, 100 Hz is comfortably sufficient, it is the de facto standard in the sleep-staging literature (Sleep-EDF is 100 Hz), and it cuts the corpus 2.56× versus the native 256 Hz.</w:t>
      </w:r>
    </w:p>
    <w:p>
      <w:pPr>
        <w:pStyle w:val="Heading2"/>
      </w:pPr>
      <w:r>
        <w:t>Why store float16?</w:t>
      </w:r>
    </w:p>
    <w:p>
      <w:r>
        <w:rPr>
          <w:b w:val="0"/>
          <w:i w:val="0"/>
        </w:rPr>
        <w:t>It halves the corpus on disk. float16 carries about 3 decimal digits, and the signals are tens to hundreds of microvolts, so the quantisation error is far below the amplifier noise floor. Every feature is computed in float32 after casting back, so no downstream arithmetic happens in half precision.</w:t>
      </w:r>
    </w:p>
    <w:p>
      <w:pPr>
        <w:pStyle w:val="Heading2"/>
      </w:pPr>
      <w:r>
        <w:t>Why keep amplitude outliers instead of clipping?</w:t>
      </w:r>
    </w:p>
    <w:p>
      <w:r>
        <w:rPr>
          <w:b w:val="0"/>
          <w:i w:val="0"/>
        </w:rPr>
        <w:t>Because the largest legitimate amplitudes in the recording are the ones N3 scoring depends on — K-complexes and high-voltage slow waves routinely exceed 200 microvolts. Clipping would flatten exactly the signal that distinguishes N3. The features are robust statistics (band-power ratios, percentiles, spectral entropy), so genuine artefacts contribute a bounded amount without needing to be removed by hand.</w:t>
      </w:r>
    </w:p>
    <w:p>
      <w:pPr>
        <w:pStyle w:val="Heading2"/>
      </w:pPr>
      <w:r>
        <w:t>Why per-subject .npz instead of the official per-epoch files?</w:t>
      </w:r>
    </w:p>
    <w:p>
      <w:r>
        <w:rPr>
          <w:b w:val="0"/>
          <w:i w:val="0"/>
        </w:rPr>
        <w:t>The upstream pipeline writes one .npz per epoch, which is roughly 95,000 tiny files. That is brutal on any filesystem and makes subject-wise splitting awkward. One file per subject keeps the natural unit of the cross-validation protocol — the patient — as the natural unit of storage, and it makes leakage-by-accident much harder.</w:t>
      </w:r>
    </w:p>
    <w:p>
      <w:pPr>
        <w:pStyle w:val="Heading2"/>
      </w:pPr>
      <w:r>
        <w:t>Why ±3 epochs of context and not more?</w:t>
      </w:r>
    </w:p>
    <w:p>
      <w:r>
        <w:rPr>
          <w:b w:val="0"/>
          <w:i w:val="0"/>
        </w:rPr>
        <w:t>AASM rules reference the immediately surrounding epochs — a REM period continues until specific evidence ends it, N1 is defined relative to what precedes it. Three epochs on each side is three minutes total, which covers those rules; wider context inflates the vector (each extra epoch adds 188 dimensions) and, on 99 subjects, starts costing more in variance than it buys in information. The sequence models get longer context separately (L = 25 epochs).</w:t>
      </w:r>
    </w:p>
    <w:p>
      <w:pPr>
        <w:pStyle w:val="Heading1"/>
      </w:pPr>
      <w:r>
        <w:t>7. The alignment finding — how to present it</w:t>
      </w:r>
    </w:p>
    <w:p>
      <w:r>
        <w:rPr>
          <w:b w:val="0"/>
          <w:i w:val="0"/>
        </w:rPr>
        <w:t>This is your strongest individual-contribution moment, because it is something you found rather than something you implemented. Present it in four beats and do not oversell it.</w:t>
      </w:r>
    </w:p>
    <w:tbl>
      <w:tblPr>
        <w:tblStyle w:val="TableGrid"/>
        <w:tblW w:type="auto" w:w="0"/>
        <w:jc w:val="center"/>
        <w:tblLook w:firstColumn="1" w:firstRow="1" w:lastColumn="0" w:lastRow="0" w:noHBand="0" w:noVBand="1" w:val="04A0"/>
      </w:tblPr>
      <w:tblGrid>
        <w:gridCol w:w="4320"/>
        <w:gridCol w:w="4320"/>
      </w:tblGrid>
      <w:tr>
        <w:tc>
          <w:tcPr>
            <w:tcW w:type="dxa" w:w="1728"/>
            <w:shd w:fill="DCE6F1"/>
          </w:tcPr>
          <w:p>
            <w:r/>
            <w:r>
              <w:rPr>
                <w:b/>
                <w:sz w:val="19"/>
              </w:rPr>
              <w:t>Beat</w:t>
            </w:r>
          </w:p>
        </w:tc>
        <w:tc>
          <w:tcPr>
            <w:tcW w:type="dxa" w:w="7632"/>
            <w:shd w:fill="DCE6F1"/>
          </w:tcPr>
          <w:p>
            <w:r/>
            <w:r>
              <w:rPr>
                <w:b/>
                <w:sz w:val="19"/>
              </w:rPr>
              <w:t>What to say</w:t>
            </w:r>
          </w:p>
        </w:tc>
      </w:tr>
      <w:tr>
        <w:tc>
          <w:tcPr>
            <w:tcW w:type="dxa" w:w="1728"/>
          </w:tcPr>
          <w:p>
            <w:r/>
            <w:r>
              <w:rPr>
                <w:sz w:val="19"/>
              </w:rPr>
              <w:t>1. The mechanism</w:t>
            </w:r>
          </w:p>
        </w:tc>
        <w:tc>
          <w:tcPr>
            <w:tcW w:type="dxa" w:w="7632"/>
          </w:tcPr>
          <w:p>
            <w:r/>
            <w:r>
              <w:rPr>
                <w:sz w:val="19"/>
              </w:rPr>
              <w:t>The parser slices the annotation sheet with [8:]. Because pandas consumes sheet row 0 as the header, index 8 is sheet row 9 — but the first scored epoch is on row 8. So the first epoch is discarded, and since onsets are then regenerated as 30×i, every remaining label slides one epoch earlier against the signal.</w:t>
            </w:r>
          </w:p>
        </w:tc>
      </w:tr>
      <w:tr>
        <w:tc>
          <w:tcPr>
            <w:tcW w:type="dxa" w:w="1728"/>
          </w:tcPr>
          <w:p>
            <w:r/>
            <w:r>
              <w:rPr>
                <w:sz w:val="19"/>
              </w:rPr>
              <w:t>2. Why it is not deliberate</w:t>
            </w:r>
          </w:p>
        </w:tc>
        <w:tc>
          <w:tcPr>
            <w:tcW w:type="dxa" w:w="7632"/>
          </w:tcPr>
          <w:p>
            <w:r/>
            <w:r>
              <w:rPr>
                <w:sz w:val="19"/>
              </w:rPr>
              <w:t>The EDF's own start time matches the first annotation row, not the second. For SN1 the EDF starts at 22:36:04 and the first annotation epoch is 22:36:00 — so signal t=0 falls inside the epoch that gets thrown away.</w:t>
            </w:r>
          </w:p>
        </w:tc>
      </w:tr>
      <w:tr>
        <w:tc>
          <w:tcPr>
            <w:tcW w:type="dxa" w:w="1728"/>
          </w:tcPr>
          <w:p>
            <w:r/>
            <w:r>
              <w:rPr>
                <w:sz w:val="19"/>
              </w:rPr>
              <w:t>3. The evidence</w:t>
            </w:r>
          </w:p>
        </w:tc>
        <w:tc>
          <w:tcPr>
            <w:tcW w:type="dxa" w:w="7632"/>
          </w:tcPr>
          <w:p>
            <w:r/>
            <w:r>
              <w:rPr>
                <w:sz w:val="19"/>
              </w:rPr>
              <w:t>Two independent lines. The mechanism is deterministic — it follows from the slice index and you can verify it by reading three cells of the spreadsheet, so it needs no statistics at all. As corroboration I also swept label shifts −2…+2 with a within-subject cross-validated classifier: positive shifts win, +1 is the modal optimum, but the effect is small and the estimator is noisy on a handful of subjects. Lead with the mechanism, offer the sweep as support — do not overstate the sweep.</w:t>
            </w:r>
          </w:p>
        </w:tc>
      </w:tr>
      <w:tr>
        <w:tc>
          <w:tcPr>
            <w:tcW w:type="dxa" w:w="1728"/>
          </w:tcPr>
          <w:p>
            <w:r/>
            <w:r>
              <w:rPr>
                <w:sz w:val="19"/>
              </w:rPr>
              <w:t>4. What I did about it</w:t>
            </w:r>
          </w:p>
        </w:tc>
        <w:tc>
          <w:tcPr>
            <w:tcW w:type="dxa" w:w="7632"/>
          </w:tcPr>
          <w:p>
            <w:r/>
            <w:r>
              <w:rPr>
                <w:sz w:val="19"/>
              </w:rPr>
              <w:t>Nothing — deliberately. Every number in the paper and every model my teammates trained used the current alignment, so silently re-aligning the corpus would make our own results irreproducible. The correct reading is that our scores are a lower bound: the fix is a one-character change ([8:] to [7:]) and it should lift every row of the leaderboard rather than overturn any conclusion. It is logged as the first fix for the next revision.</w:t>
            </w:r>
          </w:p>
        </w:tc>
      </w:tr>
    </w:tbl>
    <w:p/>
    <w:p>
      <w:r>
        <w:rPr>
          <w:b/>
          <w:i w:val="0"/>
        </w:rPr>
        <w:t>Measured in the notebook (5 subjects): the optimum is a positive shift for 4 of 5 subjects and +1 is the modal optimum, but the mean gain of +1 over the shipped alignment is only +0.25 accuracy points. Per-subject optima: SN1 +1, SN3 +1, SN5 +1, SN7 +0, SN11 +2.</w:t>
      </w:r>
    </w:p>
    <w:p>
      <w:r>
        <w:rPr>
          <w:b w:val="0"/>
          <w:i/>
        </w:rPr>
        <w:t>Be precise if pressed on this: the sweep is supporting evidence, not proof. The proof is the slice index plus the timestamps. If an examiner points out that one subject peaks at 0 and another at +2, agree — that is exactly why the sweep needs the full cohort before anyone quotes a number from it, and it is why I present the mechanism first.</w:t>
      </w:r>
    </w:p>
    <w:p>
      <w:r>
        <w:rPr>
          <w:b w:val="0"/>
          <w:i/>
        </w:rPr>
        <w:t>If an examiner pushes — ‘so your paper's numbers are wrong?’ — the answer is: no, they are internally consistent and honestly reported; they are simply not the best this pipeline can do. Every model in the comparison, ours and the published baselines we re-implemented, was trained on the same alignment, so the comparison is fair.</w:t>
      </w:r>
    </w:p>
    <w:p>
      <w:pPr>
        <w:pStyle w:val="Heading1"/>
      </w:pPr>
      <w:r>
        <w:t>8. Anticipated questions and answers</w:t>
      </w:r>
    </w:p>
    <w:p>
      <w:pPr>
        <w:pStyle w:val="Heading2"/>
      </w:pPr>
      <w:r>
        <w:t>On the data</w:t>
      </w:r>
    </w:p>
    <w:p>
      <w:pPr>
        <w:spacing w:after="40"/>
      </w:pPr>
      <w:r>
        <w:rPr>
          <w:b/>
        </w:rPr>
        <w:t>Q. What is polysomnography and what is in one recording?</w:t>
      </w:r>
    </w:p>
    <w:p>
      <w:pPr>
        <w:spacing w:after="160"/>
        <w:ind w:left="288"/>
      </w:pPr>
      <w:r>
        <w:t>A. An overnight multi-sensor sleep study. Each iSLEEPS night carries EEG (brain activity from central and occipital sites), EOG (eye movements from two electrodes beside the eyes), submental EMG (chin muscle tone), plus ECG, airflow, thorax and abdomen effort belts, snore, SpO2, pulse and body position — 22 to 28 channels. Staging uses the first three; the rest are for respiratory event scoring, which we do not use.</w:t>
      </w:r>
    </w:p>
    <w:p>
      <w:pPr>
        <w:spacing w:after="40"/>
      </w:pPr>
      <w:r>
        <w:rPr>
          <w:b/>
        </w:rPr>
        <w:t>Q. Why is this cohort harder than a healthy sleep dataset?</w:t>
      </w:r>
    </w:p>
    <w:p>
      <w:pPr>
        <w:spacing w:after="160"/>
        <w:ind w:left="288"/>
      </w:pPr>
      <w:r>
        <w:t>A. Three reasons. The stage distribution is clinically atypical — N2 dominates at 41 % while N3 and N1 are scarce, and several patients never reach N3 or REM at all. Stroke lesions distort the EEG asymmetrically, so the left and right hemispheres no longer look alike. And most of these patients have sleep-disordered breathing, which fragments sleep and injects arousals. Our Section 5.6 result quantifies it: a model trained on healthy Sleep-EDF drops from 0.855 to 0.585 accuracy zero-shot on iSLEEPS.</w:t>
      </w:r>
    </w:p>
    <w:p>
      <w:pPr>
        <w:spacing w:after="40"/>
      </w:pPr>
      <w:r>
        <w:rPr>
          <w:b/>
        </w:rPr>
        <w:t>Q. How are the five stages defined?</w:t>
      </w:r>
    </w:p>
    <w:p>
      <w:pPr>
        <w:spacing w:after="160"/>
        <w:ind w:left="288"/>
      </w:pPr>
      <w:r>
        <w:t>A. By the AASM 2017 manual, on 30-second epochs. Wake: alpha (8–13 Hz) when eyes are closed, high EMG tone, eye blinks. N1: alpha drops below half the epoch, slow rolling eye movements. N2: sleep spindles (11–16 Hz bursts) and/or K-complexes. N3: slow waves above 75 microvolts in more than 20 % of the epoch. REM: low-amplitude mixed-frequency EEG with rapid eye movements and the lowest EMG tone of the night — atonia.</w:t>
      </w:r>
    </w:p>
    <w:p>
      <w:pPr>
        <w:spacing w:after="40"/>
      </w:pPr>
      <w:r>
        <w:rPr>
          <w:b/>
        </w:rPr>
        <w:t>Q. Why 30-second epochs?</w:t>
      </w:r>
    </w:p>
    <w:p>
      <w:pPr>
        <w:spacing w:after="160"/>
        <w:ind w:left="288"/>
      </w:pPr>
      <w:r>
        <w:t>A. Historical and conventional — it comes from the paper-chart era, where 30 seconds was one page at 10 mm/s. AASM standardised on it, every scorer is trained on it, and every public hypnogram is scored on it, so any deviation makes results incomparable.</w:t>
      </w:r>
    </w:p>
    <w:p>
      <w:pPr>
        <w:spacing w:after="40"/>
      </w:pPr>
      <w:r>
        <w:rPr>
          <w:b/>
        </w:rPr>
        <w:t>Q. How much of the dataset do you actually have locally?</w:t>
      </w:r>
    </w:p>
    <w:p>
      <w:pPr>
        <w:spacing w:after="160"/>
        <w:ind w:left="288"/>
      </w:pPr>
      <w:r>
        <w:t>A. The public Zenodo release carries subjects SN1 to SN40; the remaining 60 sit behind registration on the India Data Portal. The pipeline is subject-count agnostic — it processes whatever is present — so the notebook's totals are for the open subset while the paper reports the full 99.</w:t>
      </w:r>
    </w:p>
    <w:p>
      <w:pPr>
        <w:pStyle w:val="Heading2"/>
      </w:pPr>
      <w:r>
        <w:t>On the processing</w:t>
      </w:r>
    </w:p>
    <w:p>
      <w:pPr>
        <w:spacing w:after="40"/>
      </w:pPr>
      <w:r>
        <w:rPr>
          <w:b/>
        </w:rPr>
        <w:t>Q. Walk me through what happens to one recording.</w:t>
      </w:r>
    </w:p>
    <w:p>
      <w:pPr>
        <w:spacing w:after="160"/>
        <w:ind w:left="288"/>
      </w:pPr>
      <w:r>
        <w:t>A. Six operations. Read the EDF keeping only channels I have a type for. Declare channel types so selection happens by modality rather than by name. Pick EEG, EOG and EMG. Parse the Excel hypnogram and attach it as annotations on a 30-second grid. Resample from 256 to 100 Hz. Cut non-overlapping 3000-sample windows, dropping any epoch the scorer marked artefact and any trailing partial window. Out comes x of shape [n, 7, 3000] in microvolts and y of shape [n].</w:t>
      </w:r>
    </w:p>
    <w:p>
      <w:pPr>
        <w:spacing w:after="40"/>
      </w:pPr>
      <w:r>
        <w:rPr>
          <w:b/>
        </w:rPr>
        <w:t>Q. What does drop_bad actually drop?</w:t>
      </w:r>
    </w:p>
    <w:p>
      <w:pPr>
        <w:spacing w:after="160"/>
        <w:ind w:left="288"/>
      </w:pPr>
      <w:r>
        <w:t>A. Any epoch whose annotation token is not one of the five AASM stages. Across the 40 open subjects that is 'A' (artefact), plus a handful of 'Artefact' and 'Movement' epochs — about 0.9 % of scored epochs. They are dropped rather than relabelled because a scorer marking an epoch unscorable is information, and guessing a stage for it would inject label noise.</w:t>
      </w:r>
    </w:p>
    <w:p>
      <w:pPr>
        <w:spacing w:after="40"/>
      </w:pPr>
      <w:r>
        <w:rPr>
          <w:b/>
        </w:rPr>
        <w:t>Q. Is any filtering or artefact removal applied?</w:t>
      </w:r>
    </w:p>
    <w:p>
      <w:pPr>
        <w:spacing w:after="160"/>
        <w:ind w:left="288"/>
      </w:pPr>
      <w:r>
        <w:t>A. No band-pass beyond the anti-aliasing filter that resampling applies, and no ICA. That is deliberate: the features are band-limited by construction — every spectral feature integrates the Welch periodogram over a named band — so an explicit filter would be redundant, and ICA on 7 channels is unreliable. Artefact epochs are handled by the scorer's own labels instead.</w:t>
      </w:r>
    </w:p>
    <w:p>
      <w:pPr>
        <w:spacing w:after="40"/>
      </w:pPr>
      <w:r>
        <w:rPr>
          <w:b/>
        </w:rPr>
        <w:t>Q. How do you guarantee no data leakage?</w:t>
      </w:r>
    </w:p>
    <w:p>
      <w:pPr>
        <w:spacing w:after="160"/>
        <w:ind w:left="288"/>
      </w:pPr>
      <w:r>
        <w:t>A. Storage is per subject, so the natural unit of splitting is the patient. The evaluation protocol is patient-exclusive ten-fold CV — all epochs of a patient are entirely in train or entirely in test. Standardisation statistics are fitted on the training split only. And the duplicate audit exists precisely because SN28 duplicates SN15: leaving both in would put the same patient on both sides of a fold.</w:t>
      </w:r>
    </w:p>
    <w:p>
      <w:pPr>
        <w:spacing w:after="40"/>
      </w:pPr>
      <w:r>
        <w:rPr>
          <w:b/>
        </w:rPr>
        <w:t>Q. How did you detect the duplicate?</w:t>
      </w:r>
    </w:p>
    <w:p>
      <w:pPr>
        <w:spacing w:after="160"/>
        <w:ind w:left="288"/>
      </w:pPr>
      <w:r>
        <w:t>A. A content fingerprint — an MD5 of forty evenly spaced epochs of channel 0 from each built corpus file. Two subjects with identical fingerprints are the same recording. It is cheap, it does not need the full arrays in memory, and it is independent of file name or size.</w:t>
      </w:r>
    </w:p>
    <w:p>
      <w:pPr>
        <w:spacing w:after="40"/>
      </w:pPr>
      <w:r>
        <w:rPr>
          <w:b/>
        </w:rPr>
        <w:t>Q. Why check the EDF header size?</w:t>
      </w:r>
    </w:p>
    <w:p>
      <w:pPr>
        <w:spacing w:after="160"/>
        <w:ind w:left="288"/>
      </w:pPr>
      <w:r>
        <w:t>A. Because a truncated file is the failure mode that never raises an exception. The EDF header declares the number of data records and the samples per record per signal, so the exact file size is computable from the first few hundred bytes. If the file on disk is shorter, it is incomplete and I exclude it rather than train on half a night.</w:t>
      </w:r>
    </w:p>
    <w:p>
      <w:pPr>
        <w:pStyle w:val="Heading2"/>
      </w:pPr>
      <w:r>
        <w:t>On the features</w:t>
      </w:r>
    </w:p>
    <w:p>
      <w:pPr>
        <w:spacing w:after="40"/>
      </w:pPr>
      <w:r>
        <w:rPr>
          <w:b/>
        </w:rPr>
        <w:t>Q. Why hand-crafted features at all, in 2026?</w:t>
      </w:r>
    </w:p>
    <w:p>
      <w:pPr>
        <w:spacing w:after="160"/>
        <w:ind w:left="288"/>
      </w:pPr>
      <w:r>
        <w:t>A. Because of the data regime. Ninety-nine subjects is small for end-to-end deep learning, and our own ablation shows it: a 3.7 M-parameter CNN+BiLSTM on 39 subjects scores 0.626, worse than a classical prior on the same data at 0.663. Hand-crafted features encode fifty years of sleep-medicine domain knowledge for free, they are interpretable enough to defend clinically, and here they simply win.</w:t>
      </w:r>
    </w:p>
    <w:p>
      <w:pPr>
        <w:spacing w:after="40"/>
      </w:pPr>
      <w:r>
        <w:rPr>
          <w:b/>
        </w:rPr>
        <w:t>Q. Explain the spindle detector.</w:t>
      </w:r>
    </w:p>
    <w:p>
      <w:pPr>
        <w:spacing w:after="160"/>
        <w:ind w:left="288"/>
      </w:pPr>
      <w:r>
        <w:t>A. Band-pass the EEG to the sigma band, 11–16 Hz, with a fourth-order zero-phase Butterworth filter. Take the Hilbert transform to get the analytic signal and its envelope, which is the instantaneous sigma amplitude. Threshold at the 90th percentile within the epoch — adaptive, so it self-calibrates to each patient's amplitude. Count the upward threshold crossings: that is spindle density. I also keep the envelope mean and variance. Spindles are the defining graphoelement of N2, and in the paper's feature-importance figure sigma power ranks at the top.</w:t>
      </w:r>
    </w:p>
    <w:p>
      <w:pPr>
        <w:spacing w:after="40"/>
      </w:pPr>
      <w:r>
        <w:rPr>
          <w:b/>
        </w:rPr>
        <w:t>Q. Why a per-epoch percentile threshold rather than a fixed microvolt threshold?</w:t>
      </w:r>
    </w:p>
    <w:p>
      <w:pPr>
        <w:spacing w:after="160"/>
        <w:ind w:left="288"/>
      </w:pPr>
      <w:r>
        <w:t>A. Absolute EEG amplitude varies enormously between patients — skull thickness, electrode impedance, medication, and in this cohort the lesion itself. A fixed threshold would find spindles everywhere in one patient and nowhere in another. A within-epoch percentile makes the feature a shape descriptor rather than an amplitude one.</w:t>
      </w:r>
    </w:p>
    <w:p>
      <w:pPr>
        <w:spacing w:after="40"/>
      </w:pPr>
      <w:r>
        <w:rPr>
          <w:b/>
        </w:rPr>
        <w:t>Q. What do the Hjorth parameters measure?</w:t>
      </w:r>
    </w:p>
    <w:p>
      <w:pPr>
        <w:spacing w:after="160"/>
        <w:ind w:left="288"/>
      </w:pPr>
      <w:r>
        <w:t>A. Activity is the variance of the signal — total power. Mobility is the ratio of the standard deviation of the first derivative to that of the signal — a proxy for mean frequency. Complexity compares the mobility of the derivative to the mobility of the signal — roughly, how far the waveform departs from a pure sine. They are three cheap time-domain descriptors that capture spectral shape without computing a spectrum.</w:t>
      </w:r>
    </w:p>
    <w:p>
      <w:pPr>
        <w:spacing w:after="40"/>
      </w:pPr>
      <w:r>
        <w:rPr>
          <w:b/>
        </w:rPr>
        <w:t>Q. Absolute and relative band power — why both?</w:t>
      </w:r>
    </w:p>
    <w:p>
      <w:pPr>
        <w:spacing w:after="160"/>
        <w:ind w:left="288"/>
      </w:pPr>
      <w:r>
        <w:t>A. Absolute power carries amplitude information, which is what separates N3 (high-voltage slow waves) from N1. But absolute power also varies with electrode impedance and skull anatomy between patients. Relative power — the band's share of total power — is invariant to that gain, which is what makes it transfer across subjects. Keeping both lets the model use whichever is more reliable per stage.</w:t>
      </w:r>
    </w:p>
    <w:p>
      <w:pPr>
        <w:spacing w:after="40"/>
      </w:pPr>
      <w:r>
        <w:rPr>
          <w:b/>
        </w:rPr>
        <w:t>Q. How do the EOG and EMG features separate REM?</w:t>
      </w:r>
    </w:p>
    <w:p>
      <w:pPr>
        <w:spacing w:after="160"/>
        <w:ind w:left="288"/>
      </w:pPr>
      <w:r>
        <w:t>A. REM has two signatures. Rapid eye movements produce fast, high-amplitude deflections in EOG, which I capture as the log energy of the first difference and its 95th percentile — differencing emphasises exactly the fast transients. And REM atonia makes the submental EMG the flattest it will be all night, which I capture as log RMS and the 90th percentile of the absolute value. REM is the one stage where EEG looks like light sleep but EMG is at its floor; that combination is what identifies it.</w:t>
      </w:r>
    </w:p>
    <w:p>
      <w:pPr>
        <w:spacing w:after="40"/>
      </w:pPr>
      <w:r>
        <w:rPr>
          <w:b/>
        </w:rPr>
        <w:t>Q. Where do 188 and 1316 come from?</w:t>
      </w:r>
    </w:p>
    <w:p>
      <w:pPr>
        <w:spacing w:after="160"/>
        <w:ind w:left="288"/>
      </w:pPr>
      <w:r>
        <w:t>A. Twenty-three base features per channel times seven channels is 161. Twenty event features on the four EEG channels (spindle density, amplitude, variance, slow-wave peak-to-peak and rectified amplitude, five per channel), four on the two EOG channels, three on EMG — 27. 161 plus 27 is 188. Then each epoch is concatenated with its three neighbours on each side, seven epochs in total: 188 times 7 is 1316.</w:t>
      </w:r>
    </w:p>
    <w:p>
      <w:pPr>
        <w:pStyle w:val="Heading2"/>
      </w:pPr>
      <w:r>
        <w:t>On the results and the boundaries of your part</w:t>
      </w:r>
    </w:p>
    <w:p>
      <w:pPr>
        <w:spacing w:after="40"/>
      </w:pPr>
      <w:r>
        <w:rPr>
          <w:b/>
        </w:rPr>
        <w:t>Q. What accuracy did the system reach?</w:t>
      </w:r>
    </w:p>
    <w:p>
      <w:pPr>
        <w:spacing w:after="160"/>
        <w:ind w:left="288"/>
      </w:pPr>
      <w:r>
        <w:t>A. About 0.75 accuracy and 0.675 macro-F1 under patient-exclusive ten-fold CV, matching the published state of the art on this dataset on accuracy and exceeding it on the minority-sensitive metrics. But be precise about attribution: the classical prior on my features reaches 0.746 accuracy on its own, and the deep graph and state-space streams added nothing on top — the residual gate rejected them on every fold.</w:t>
      </w:r>
    </w:p>
    <w:p>
      <w:pPr>
        <w:spacing w:after="40"/>
      </w:pPr>
      <w:r>
        <w:rPr>
          <w:b/>
        </w:rPr>
        <w:t>Q. Why report macro-F1 and kappa rather than accuracy?</w:t>
      </w:r>
    </w:p>
    <w:p>
      <w:pPr>
        <w:spacing w:after="160"/>
        <w:ind w:left="288"/>
      </w:pPr>
      <w:r>
        <w:t>A. Because the distribution is severely imbalanced. N2 alone is 41 % of epochs, so a model that predicted N2 for everything would already score 0.41 accuracy while being clinically useless. Macro-F1 averages the per-stage F1 equally, so N3 and N1 count as much as N2. Kappa corrects for agreement expected by chance under the same marginals.</w:t>
      </w:r>
    </w:p>
    <w:p>
      <w:pPr>
        <w:spacing w:after="40"/>
      </w:pPr>
      <w:r>
        <w:rPr>
          <w:b/>
        </w:rPr>
        <w:t>Q. Which stage is hardest and why?</w:t>
      </w:r>
    </w:p>
    <w:p>
      <w:pPr>
        <w:spacing w:after="160"/>
        <w:ind w:left="288"/>
      </w:pPr>
      <w:r>
        <w:t>A. N1, by a wide margin. It is a transitional state defined mostly by the absence of features — alpha has dropped but spindles have not yet appeared — it is the rarest stage at 9.9 %, and human inter-scorer agreement on N1 is itself poor. In our confusion matrix most of the error is N1 predicted as Wake or N2.</w:t>
      </w:r>
    </w:p>
    <w:p>
      <w:pPr>
        <w:spacing w:after="40"/>
      </w:pPr>
      <w:r>
        <w:rPr>
          <w:b/>
        </w:rPr>
        <w:t>Q. What did your teammates do?</w:t>
      </w:r>
    </w:p>
    <w:p>
      <w:pPr>
        <w:spacing w:after="160"/>
        <w:ind w:left="288"/>
      </w:pPr>
      <w:r>
        <w:t>A. They built everything downstream of my arrays: the hemispheric-asymmetry graph stream with graph attention over the 7-channel montage, the selective state-space (Mamba-style) sequence decoder, the residual gated fusion with its fallback rule, HMM decoding of the stage sequence, the conformal-prediction calibration head, the lesion-severity biomarker head, and the full ten-fold evaluation and statistical testing.</w:t>
      </w:r>
    </w:p>
    <w:p>
      <w:pPr>
        <w:spacing w:after="40"/>
      </w:pPr>
      <w:r>
        <w:rPr>
          <w:b/>
        </w:rPr>
        <w:t>Q. If you had more time, what would you improve in your part?</w:t>
      </w:r>
    </w:p>
    <w:p>
      <w:pPr>
        <w:spacing w:after="160"/>
        <w:ind w:left="288"/>
      </w:pPr>
      <w:r>
        <w:t>A. Three things, in order. Fix the one-epoch alignment and re-run the whole study. Acquire the remaining 60 subjects from the India Data Portal so the corpus matches the paper's N=99 locally. And add per-subject signal-quality weighting — right now every epoch counts equally, but recordings differ a lot in electrode quality and a quality-aware loss would likely help the minority stages most.</w:t>
      </w:r>
    </w:p>
    <w:p>
      <w:pPr>
        <w:pStyle w:val="Heading1"/>
      </w:pPr>
      <w:r>
        <w:t>9. Honest limitations — say these before you are asked</w:t>
      </w:r>
    </w:p>
    <w:p>
      <w:pPr>
        <w:pStyle w:val="ListBullet"/>
      </w:pPr>
      <w:r>
        <w:t>The label–signal alignment is off by one epoch in the shipped pipeline. I found it, measured it, and deliberately left it in place so the paper's numbers stay reproducible.</w:t>
      </w:r>
    </w:p>
    <w:p>
      <w:pPr>
        <w:pStyle w:val="ListBullet"/>
      </w:pPr>
      <w:r>
        <w:t>Only 40 of the 100 subjects are openly downloadable; the notebook therefore runs on a subset while the paper reports the full cohort.</w:t>
      </w:r>
    </w:p>
    <w:p>
      <w:pPr>
        <w:pStyle w:val="ListBullet"/>
      </w:pPr>
      <w:r>
        <w:t>The paper's Section 3.2 rounds two band edges — it writes alpha as 8–12 and sigma as 12–16 Hz, while the code uses alpha 8–13 and sigma 11–16, which overlap slightly. The code is the ground truth; the text should be corrected.</w:t>
      </w:r>
    </w:p>
    <w:p>
      <w:pPr>
        <w:pStyle w:val="ListBullet"/>
      </w:pPr>
      <w:r>
        <w:t>No explicit artefact rejection beyond the scorer's own artefact labels. Defensible because the features are robust statistics, but a signal-quality index would be better.</w:t>
      </w:r>
    </w:p>
    <w:p>
      <w:pPr>
        <w:pStyle w:val="ListBullet"/>
      </w:pPr>
      <w:r>
        <w:t>Lesion side and territory metadata exist for only about 60 % and 56 % of subjects respectively, which limits the asymmetry analysis.</w:t>
      </w:r>
    </w:p>
    <w:p>
      <w:pPr>
        <w:pStyle w:val="ListBullet"/>
      </w:pPr>
      <w:r>
        <w:t>The sanity check in the notebook is one boosting model under patient-exclusive grouped CV on the locally available subjects — it demonstrates data quality, not model performance. The paper's numbers come from the full ten-fold protocol on 99 subjects with the complete HAG-Net stack, and the two are not comparable.</w:t>
      </w:r>
    </w:p>
    <w:p>
      <w:pPr>
        <w:pStyle w:val="ListBullet"/>
      </w:pPr>
      <w:r>
        <w:t>The alignment shift sweep is corroboration, not proof, and at this sample size it is noisy — the mechanism is the actual evidence.</w:t>
      </w:r>
    </w:p>
    <w:p>
      <w:pPr>
        <w:pStyle w:val="Heading1"/>
      </w:pPr>
      <w:r>
        <w:t>10. Quick glossary</w:t>
      </w:r>
    </w:p>
    <w:tbl>
      <w:tblPr>
        <w:tblStyle w:val="TableGrid"/>
        <w:tblW w:type="auto" w:w="0"/>
        <w:jc w:val="center"/>
        <w:tblLook w:firstColumn="1" w:firstRow="1" w:lastColumn="0" w:lastRow="0" w:noHBand="0" w:noVBand="1" w:val="04A0"/>
      </w:tblPr>
      <w:tblGrid>
        <w:gridCol w:w="4320"/>
        <w:gridCol w:w="4320"/>
      </w:tblGrid>
      <w:tr>
        <w:tc>
          <w:tcPr>
            <w:tcW w:type="dxa" w:w="2016"/>
            <w:shd w:fill="DCE6F1"/>
          </w:tcPr>
          <w:p>
            <w:r/>
            <w:r>
              <w:rPr>
                <w:b/>
                <w:sz w:val="19"/>
              </w:rPr>
              <w:t>Term</w:t>
            </w:r>
          </w:p>
        </w:tc>
        <w:tc>
          <w:tcPr>
            <w:tcW w:type="dxa" w:w="7344"/>
            <w:shd w:fill="DCE6F1"/>
          </w:tcPr>
          <w:p>
            <w:r/>
            <w:r>
              <w:rPr>
                <w:b/>
                <w:sz w:val="19"/>
              </w:rPr>
              <w:t>Meaning</w:t>
            </w:r>
          </w:p>
        </w:tc>
      </w:tr>
      <w:tr>
        <w:tc>
          <w:tcPr>
            <w:tcW w:type="dxa" w:w="2016"/>
          </w:tcPr>
          <w:p>
            <w:r/>
            <w:r>
              <w:rPr>
                <w:sz w:val="19"/>
              </w:rPr>
              <w:t>PSG</w:t>
            </w:r>
          </w:p>
        </w:tc>
        <w:tc>
          <w:tcPr>
            <w:tcW w:type="dxa" w:w="7344"/>
          </w:tcPr>
          <w:p>
            <w:r/>
            <w:r>
              <w:rPr>
                <w:sz w:val="19"/>
              </w:rPr>
              <w:t>Polysomnography — the overnight multi-sensor sleep recording</w:t>
            </w:r>
          </w:p>
        </w:tc>
      </w:tr>
      <w:tr>
        <w:tc>
          <w:tcPr>
            <w:tcW w:type="dxa" w:w="2016"/>
          </w:tcPr>
          <w:p>
            <w:r/>
            <w:r>
              <w:rPr>
                <w:sz w:val="19"/>
              </w:rPr>
              <w:t>AASM</w:t>
            </w:r>
          </w:p>
        </w:tc>
        <w:tc>
          <w:tcPr>
            <w:tcW w:type="dxa" w:w="7344"/>
          </w:tcPr>
          <w:p>
            <w:r/>
            <w:r>
              <w:rPr>
                <w:sz w:val="19"/>
              </w:rPr>
              <w:t>American Academy of Sleep Medicine; publishes the scoring manual (2017 edition here)</w:t>
            </w:r>
          </w:p>
        </w:tc>
      </w:tr>
      <w:tr>
        <w:tc>
          <w:tcPr>
            <w:tcW w:type="dxa" w:w="2016"/>
          </w:tcPr>
          <w:p>
            <w:r/>
            <w:r>
              <w:rPr>
                <w:sz w:val="19"/>
              </w:rPr>
              <w:t>Epoch</w:t>
            </w:r>
          </w:p>
        </w:tc>
        <w:tc>
          <w:tcPr>
            <w:tcW w:type="dxa" w:w="7344"/>
          </w:tcPr>
          <w:p>
            <w:r/>
            <w:r>
              <w:rPr>
                <w:sz w:val="19"/>
              </w:rPr>
              <w:t>One 30-second window of the recording; the unit that gets a stage label</w:t>
            </w:r>
          </w:p>
        </w:tc>
      </w:tr>
      <w:tr>
        <w:tc>
          <w:tcPr>
            <w:tcW w:type="dxa" w:w="2016"/>
          </w:tcPr>
          <w:p>
            <w:r/>
            <w:r>
              <w:rPr>
                <w:sz w:val="19"/>
              </w:rPr>
              <w:t>Hypnogram</w:t>
            </w:r>
          </w:p>
        </w:tc>
        <w:tc>
          <w:tcPr>
            <w:tcW w:type="dxa" w:w="7344"/>
          </w:tcPr>
          <w:p>
            <w:r/>
            <w:r>
              <w:rPr>
                <w:sz w:val="19"/>
              </w:rPr>
              <w:t>The sequence of stage labels across the night</w:t>
            </w:r>
          </w:p>
        </w:tc>
      </w:tr>
      <w:tr>
        <w:tc>
          <w:tcPr>
            <w:tcW w:type="dxa" w:w="2016"/>
          </w:tcPr>
          <w:p>
            <w:r/>
            <w:r>
              <w:rPr>
                <w:sz w:val="19"/>
              </w:rPr>
              <w:t>EDF</w:t>
            </w:r>
          </w:p>
        </w:tc>
        <w:tc>
          <w:tcPr>
            <w:tcW w:type="dxa" w:w="7344"/>
          </w:tcPr>
          <w:p>
            <w:r/>
            <w:r>
              <w:rPr>
                <w:sz w:val="19"/>
              </w:rPr>
              <w:t>European Data Format — the standard container for PSG signals; int16 samples plus a self-describing ASCII header</w:t>
            </w:r>
          </w:p>
        </w:tc>
      </w:tr>
      <w:tr>
        <w:tc>
          <w:tcPr>
            <w:tcW w:type="dxa" w:w="2016"/>
          </w:tcPr>
          <w:p>
            <w:r/>
            <w:r>
              <w:rPr>
                <w:sz w:val="19"/>
              </w:rPr>
              <w:t>Montage</w:t>
            </w:r>
          </w:p>
        </w:tc>
        <w:tc>
          <w:tcPr>
            <w:tcW w:type="dxa" w:w="7344"/>
          </w:tcPr>
          <w:p>
            <w:r/>
            <w:r>
              <w:rPr>
                <w:sz w:val="19"/>
              </w:rPr>
              <w:t>The set of electrode derivations recorded, e.g. C4:M1 means electrode C4 referenced to mastoid M1</w:t>
            </w:r>
          </w:p>
        </w:tc>
      </w:tr>
      <w:tr>
        <w:tc>
          <w:tcPr>
            <w:tcW w:type="dxa" w:w="2016"/>
          </w:tcPr>
          <w:p>
            <w:r/>
            <w:r>
              <w:rPr>
                <w:sz w:val="19"/>
              </w:rPr>
              <w:t>C4 / C3 / O2 / O1</w:t>
            </w:r>
          </w:p>
        </w:tc>
        <w:tc>
          <w:tcPr>
            <w:tcW w:type="dxa" w:w="7344"/>
          </w:tcPr>
          <w:p>
            <w:r/>
            <w:r>
              <w:rPr>
                <w:sz w:val="19"/>
              </w:rPr>
              <w:t>Central and occipital scalp sites; even numbers are right hemisphere, odd are left — which is what makes the homologous pairs possible</w:t>
            </w:r>
          </w:p>
        </w:tc>
      </w:tr>
      <w:tr>
        <w:tc>
          <w:tcPr>
            <w:tcW w:type="dxa" w:w="2016"/>
          </w:tcPr>
          <w:p>
            <w:r/>
            <w:r>
              <w:rPr>
                <w:sz w:val="19"/>
              </w:rPr>
              <w:t>M1 / M2 / A1 / A2</w:t>
            </w:r>
          </w:p>
        </w:tc>
        <w:tc>
          <w:tcPr>
            <w:tcW w:type="dxa" w:w="7344"/>
          </w:tcPr>
          <w:p>
            <w:r/>
            <w:r>
              <w:rPr>
                <w:sz w:val="19"/>
              </w:rPr>
              <w:t>Mastoid and earlobe reference electrodes — the two conventions this cohort mixes</w:t>
            </w:r>
          </w:p>
        </w:tc>
      </w:tr>
      <w:tr>
        <w:tc>
          <w:tcPr>
            <w:tcW w:type="dxa" w:w="2016"/>
          </w:tcPr>
          <w:p>
            <w:r/>
            <w:r>
              <w:rPr>
                <w:sz w:val="19"/>
              </w:rPr>
              <w:t>EOG / EMG</w:t>
            </w:r>
          </w:p>
        </w:tc>
        <w:tc>
          <w:tcPr>
            <w:tcW w:type="dxa" w:w="7344"/>
          </w:tcPr>
          <w:p>
            <w:r/>
            <w:r>
              <w:rPr>
                <w:sz w:val="19"/>
              </w:rPr>
              <w:t>Electro-oculogram (eye movements) / electromyogram (here, chin muscle tone)</w:t>
            </w:r>
          </w:p>
        </w:tc>
      </w:tr>
      <w:tr>
        <w:tc>
          <w:tcPr>
            <w:tcW w:type="dxa" w:w="2016"/>
          </w:tcPr>
          <w:p>
            <w:r/>
            <w:r>
              <w:rPr>
                <w:sz w:val="19"/>
              </w:rPr>
              <w:t>Atonia</w:t>
            </w:r>
          </w:p>
        </w:tc>
        <w:tc>
          <w:tcPr>
            <w:tcW w:type="dxa" w:w="7344"/>
          </w:tcPr>
          <w:p>
            <w:r/>
            <w:r>
              <w:rPr>
                <w:sz w:val="19"/>
              </w:rPr>
              <w:t>The near-complete loss of muscle tone that defines REM sleep</w:t>
            </w:r>
          </w:p>
        </w:tc>
      </w:tr>
      <w:tr>
        <w:tc>
          <w:tcPr>
            <w:tcW w:type="dxa" w:w="2016"/>
          </w:tcPr>
          <w:p>
            <w:r/>
            <w:r>
              <w:rPr>
                <w:sz w:val="19"/>
              </w:rPr>
              <w:t>Spindle</w:t>
            </w:r>
          </w:p>
        </w:tc>
        <w:tc>
          <w:tcPr>
            <w:tcW w:type="dxa" w:w="7344"/>
          </w:tcPr>
          <w:p>
            <w:r/>
            <w:r>
              <w:rPr>
                <w:sz w:val="19"/>
              </w:rPr>
              <w:t>An 11–16 Hz burst lasting about half a second; the defining marker of N2</w:t>
            </w:r>
          </w:p>
        </w:tc>
      </w:tr>
      <w:tr>
        <w:tc>
          <w:tcPr>
            <w:tcW w:type="dxa" w:w="2016"/>
          </w:tcPr>
          <w:p>
            <w:r/>
            <w:r>
              <w:rPr>
                <w:sz w:val="19"/>
              </w:rPr>
              <w:t>Slow wave</w:t>
            </w:r>
          </w:p>
        </w:tc>
        <w:tc>
          <w:tcPr>
            <w:tcW w:type="dxa" w:w="7344"/>
          </w:tcPr>
          <w:p>
            <w:r/>
            <w:r>
              <w:rPr>
                <w:sz w:val="19"/>
              </w:rPr>
              <w:t>A high-amplitude 0.5–4 Hz oscillation; defines N3</w:t>
            </w:r>
          </w:p>
        </w:tc>
      </w:tr>
      <w:tr>
        <w:tc>
          <w:tcPr>
            <w:tcW w:type="dxa" w:w="2016"/>
          </w:tcPr>
          <w:p>
            <w:r/>
            <w:r>
              <w:rPr>
                <w:sz w:val="19"/>
              </w:rPr>
              <w:t>Welch periodogram</w:t>
            </w:r>
          </w:p>
        </w:tc>
        <w:tc>
          <w:tcPr>
            <w:tcW w:type="dxa" w:w="7344"/>
          </w:tcPr>
          <w:p>
            <w:r/>
            <w:r>
              <w:rPr>
                <w:sz w:val="19"/>
              </w:rPr>
              <w:t>Power-spectral-density estimate by averaging over overlapping windows</w:t>
            </w:r>
          </w:p>
        </w:tc>
      </w:tr>
      <w:tr>
        <w:tc>
          <w:tcPr>
            <w:tcW w:type="dxa" w:w="2016"/>
          </w:tcPr>
          <w:p>
            <w:r/>
            <w:r>
              <w:rPr>
                <w:sz w:val="19"/>
              </w:rPr>
              <w:t>Macro-F1</w:t>
            </w:r>
          </w:p>
        </w:tc>
        <w:tc>
          <w:tcPr>
            <w:tcW w:type="dxa" w:w="7344"/>
          </w:tcPr>
          <w:p>
            <w:r/>
            <w:r>
              <w:rPr>
                <w:sz w:val="19"/>
              </w:rPr>
              <w:t>Mean of per-class F1 scores, weighting rare stages equally</w:t>
            </w:r>
          </w:p>
        </w:tc>
      </w:tr>
      <w:tr>
        <w:tc>
          <w:tcPr>
            <w:tcW w:type="dxa" w:w="2016"/>
          </w:tcPr>
          <w:p>
            <w:r/>
            <w:r>
              <w:rPr>
                <w:sz w:val="19"/>
              </w:rPr>
              <w:t>Cohen's kappa</w:t>
            </w:r>
          </w:p>
        </w:tc>
        <w:tc>
          <w:tcPr>
            <w:tcW w:type="dxa" w:w="7344"/>
          </w:tcPr>
          <w:p>
            <w:r/>
            <w:r>
              <w:rPr>
                <w:sz w:val="19"/>
              </w:rPr>
              <w:t>Agreement corrected for chance agreement</w:t>
            </w:r>
          </w:p>
        </w:tc>
      </w:tr>
      <w:tr>
        <w:tc>
          <w:tcPr>
            <w:tcW w:type="dxa" w:w="2016"/>
          </w:tcPr>
          <w:p>
            <w:r/>
            <w:r>
              <w:rPr>
                <w:sz w:val="19"/>
              </w:rPr>
              <w:t>Patient-exclusive CV</w:t>
            </w:r>
          </w:p>
        </w:tc>
        <w:tc>
          <w:tcPr>
            <w:tcW w:type="dxa" w:w="7344"/>
          </w:tcPr>
          <w:p>
            <w:r/>
            <w:r>
              <w:rPr>
                <w:sz w:val="19"/>
              </w:rPr>
              <w:t>Cross-validation where all epochs of a patient are entirely in train or entirely in test</w:t>
            </w:r>
          </w:p>
        </w:tc>
      </w:tr>
    </w:tbl>
    <w:p/>
    <w:p>
      <w:r>
        <w:br w:type="page"/>
      </w:r>
    </w:p>
    <w:p>
      <w:pPr>
        <w:pStyle w:val="Heading1"/>
      </w:pPr>
      <w:r>
        <w:t>Appendix: file map</w:t>
      </w:r>
    </w:p>
    <w:tbl>
      <w:tblPr>
        <w:tblStyle w:val="TableGrid"/>
        <w:tblW w:type="auto" w:w="0"/>
        <w:jc w:val="center"/>
        <w:tblLook w:firstColumn="1" w:firstRow="1" w:lastColumn="0" w:lastRow="0" w:noHBand="0" w:noVBand="1" w:val="04A0"/>
      </w:tblPr>
      <w:tblGrid>
        <w:gridCol w:w="4320"/>
        <w:gridCol w:w="4320"/>
      </w:tblGrid>
      <w:tr>
        <w:tc>
          <w:tcPr>
            <w:tcW w:type="dxa" w:w="3744"/>
            <w:shd w:fill="DCE6F1"/>
          </w:tcPr>
          <w:p>
            <w:r/>
            <w:r>
              <w:rPr>
                <w:b/>
                <w:sz w:val="19"/>
              </w:rPr>
              <w:t>File</w:t>
            </w:r>
          </w:p>
        </w:tc>
        <w:tc>
          <w:tcPr>
            <w:tcW w:type="dxa" w:w="5616"/>
            <w:shd w:fill="DCE6F1"/>
          </w:tcPr>
          <w:p>
            <w:r/>
            <w:r>
              <w:rPr>
                <w:b/>
                <w:sz w:val="19"/>
              </w:rPr>
              <w:t>Role</w:t>
            </w:r>
          </w:p>
        </w:tc>
      </w:tr>
      <w:tr>
        <w:tc>
          <w:tcPr>
            <w:tcW w:type="dxa" w:w="3744"/>
          </w:tcPr>
          <w:p>
            <w:r/>
            <w:r>
              <w:rPr>
                <w:sz w:val="19"/>
              </w:rPr>
              <w:t>dataset/SNxx.edf, SNxx.xlsx</w:t>
            </w:r>
          </w:p>
        </w:tc>
        <w:tc>
          <w:tcPr>
            <w:tcW w:type="dxa" w:w="5616"/>
          </w:tcPr>
          <w:p>
            <w:r/>
            <w:r>
              <w:rPr>
                <w:sz w:val="19"/>
              </w:rPr>
              <w:t>Raw iSLEEPS release (Zenodo subset)</w:t>
            </w:r>
          </w:p>
        </w:tc>
      </w:tr>
      <w:tr>
        <w:tc>
          <w:tcPr>
            <w:tcW w:type="dxa" w:w="3744"/>
          </w:tcPr>
          <w:p>
            <w:r/>
            <w:r>
              <w:rPr>
                <w:sz w:val="19"/>
              </w:rPr>
              <w:t>project/processing/iSLEEPS_preprocessing.ipynb</w:t>
            </w:r>
          </w:p>
        </w:tc>
        <w:tc>
          <w:tcPr>
            <w:tcW w:type="dxa" w:w="5616"/>
          </w:tcPr>
          <w:p>
            <w:r/>
            <w:r>
              <w:rPr>
                <w:b/>
                <w:sz w:val="19"/>
              </w:rPr>
              <w:t>The notebook to demonstrate** — the whole processing stage, executed</w:t>
            </w:r>
          </w:p>
        </w:tc>
      </w:tr>
      <w:tr>
        <w:tc>
          <w:tcPr>
            <w:tcW w:type="dxa" w:w="3744"/>
          </w:tcPr>
          <w:p>
            <w:r/>
            <w:r>
              <w:rPr>
                <w:sz w:val="19"/>
              </w:rPr>
              <w:t>project/processing/staging_preprocess.py</w:t>
            </w:r>
          </w:p>
        </w:tc>
        <w:tc>
          <w:tcPr>
            <w:tcW w:type="dxa" w:w="5616"/>
          </w:tcPr>
          <w:p>
            <w:r/>
            <w:r>
              <w:rPr>
                <w:sz w:val="19"/>
              </w:rPr>
              <w:t>EDF reading, annotation parsing, resampling, 30 s windowing (StagingPreprocess)</w:t>
            </w:r>
          </w:p>
        </w:tc>
      </w:tr>
      <w:tr>
        <w:tc>
          <w:tcPr>
            <w:tcW w:type="dxa" w:w="3744"/>
          </w:tcPr>
          <w:p>
            <w:r/>
            <w:r>
              <w:rPr>
                <w:sz w:val="19"/>
              </w:rPr>
              <w:t>project/processing/channel_mapping.py</w:t>
            </w:r>
          </w:p>
        </w:tc>
        <w:tc>
          <w:tcPr>
            <w:tcW w:type="dxa" w:w="5616"/>
          </w:tcPr>
          <w:p>
            <w:r/>
            <w:r>
              <w:rPr>
                <w:sz w:val="19"/>
              </w:rPr>
              <w:t>Channel-name to modality map and the AASM label map</w:t>
            </w:r>
          </w:p>
        </w:tc>
      </w:tr>
      <w:tr>
        <w:tc>
          <w:tcPr>
            <w:tcW w:type="dxa" w:w="3744"/>
          </w:tcPr>
          <w:p>
            <w:r/>
            <w:r>
              <w:rPr>
                <w:sz w:val="19"/>
              </w:rPr>
              <w:t>project/processing/build_npz_full.py</w:t>
            </w:r>
          </w:p>
        </w:tc>
        <w:tc>
          <w:tcPr>
            <w:tcW w:type="dxa" w:w="5616"/>
          </w:tcPr>
          <w:p>
            <w:r/>
            <w:r>
              <w:rPr>
                <w:sz w:val="19"/>
              </w:rPr>
              <w:t>Production driver: 7-channel montage, one .npz per subject</w:t>
            </w:r>
          </w:p>
        </w:tc>
      </w:tr>
      <w:tr>
        <w:tc>
          <w:tcPr>
            <w:tcW w:type="dxa" w:w="3744"/>
          </w:tcPr>
          <w:p>
            <w:r/>
            <w:r>
              <w:rPr>
                <w:sz w:val="19"/>
              </w:rPr>
              <w:t>project/processing/build_npz.py</w:t>
            </w:r>
          </w:p>
        </w:tc>
        <w:tc>
          <w:tcPr>
            <w:tcW w:type="dxa" w:w="5616"/>
          </w:tcPr>
          <w:p>
            <w:r/>
            <w:r>
              <w:rPr>
                <w:sz w:val="19"/>
              </w:rPr>
              <w:t>Earlier EEG-only (4-channel) variant</w:t>
            </w:r>
          </w:p>
        </w:tc>
      </w:tr>
      <w:tr>
        <w:tc>
          <w:tcPr>
            <w:tcW w:type="dxa" w:w="3744"/>
          </w:tcPr>
          <w:p>
            <w:r/>
            <w:r>
              <w:rPr>
                <w:sz w:val="19"/>
              </w:rPr>
              <w:t>project/processing/features.py</w:t>
            </w:r>
          </w:p>
        </w:tc>
        <w:tc>
          <w:tcPr>
            <w:tcW w:type="dxa" w:w="5616"/>
          </w:tcPr>
          <w:p>
            <w:r/>
            <w:r>
              <w:rPr>
                <w:sz w:val="19"/>
              </w:rPr>
              <w:t>161 base spectral/temporal features</w:t>
            </w:r>
          </w:p>
        </w:tc>
      </w:tr>
      <w:tr>
        <w:tc>
          <w:tcPr>
            <w:tcW w:type="dxa" w:w="3744"/>
          </w:tcPr>
          <w:p>
            <w:r/>
            <w:r>
              <w:rPr>
                <w:sz w:val="19"/>
              </w:rPr>
              <w:t>project/processing/features_v2.py</w:t>
            </w:r>
          </w:p>
        </w:tc>
        <w:tc>
          <w:tcPr>
            <w:tcW w:type="dxa" w:w="5616"/>
          </w:tcPr>
          <w:p>
            <w:r/>
            <w:r>
              <w:rPr>
                <w:sz w:val="19"/>
              </w:rPr>
              <w:t>27 physiological-event features, plus the combined 188</w:t>
            </w:r>
          </w:p>
        </w:tc>
      </w:tr>
      <w:tr>
        <w:tc>
          <w:tcPr>
            <w:tcW w:type="dxa" w:w="3744"/>
          </w:tcPr>
          <w:p>
            <w:r/>
            <w:r>
              <w:rPr>
                <w:sz w:val="19"/>
              </w:rPr>
              <w:t>project/processing/numpy_subjects.py</w:t>
            </w:r>
          </w:p>
        </w:tc>
        <w:tc>
          <w:tcPr>
            <w:tcW w:type="dxa" w:w="5616"/>
          </w:tcPr>
          <w:p>
            <w:r/>
            <w:r>
              <w:rPr>
                <w:sz w:val="19"/>
              </w:rPr>
              <w:t>Upstream per-epoch file combiner (kept for reference)</w:t>
            </w:r>
          </w:p>
        </w:tc>
      </w:tr>
      <w:tr>
        <w:tc>
          <w:tcPr>
            <w:tcW w:type="dxa" w:w="3744"/>
          </w:tcPr>
          <w:p>
            <w:r/>
            <w:r>
              <w:rPr>
                <w:sz w:val="19"/>
              </w:rPr>
              <w:t>project/data/processed7/SNxx.npz</w:t>
            </w:r>
          </w:p>
        </w:tc>
        <w:tc>
          <w:tcPr>
            <w:tcW w:type="dxa" w:w="5616"/>
          </w:tcPr>
          <w:p>
            <w:r/>
            <w:r>
              <w:rPr>
                <w:sz w:val="19"/>
              </w:rPr>
              <w:t>Built corpus handed to the modelling half</w:t>
            </w:r>
          </w:p>
        </w:tc>
      </w:tr>
      <w:tr>
        <w:tc>
          <w:tcPr>
            <w:tcW w:type="dxa" w:w="3744"/>
          </w:tcPr>
          <w:p>
            <w:r/>
            <w:r>
              <w:rPr>
                <w:sz w:val="19"/>
              </w:rPr>
              <w:t>Sleep_Stage_Classification paper/main.tex</w:t>
            </w:r>
          </w:p>
        </w:tc>
        <w:tc>
          <w:tcPr>
            <w:tcW w:type="dxa" w:w="5616"/>
          </w:tcPr>
          <w:p>
            <w:r/>
            <w:r>
              <w:rPr>
                <w:sz w:val="19"/>
              </w:rPr>
              <w:t>The paper — open in Overleaf, jump to Sec. 3.1</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