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6442" w14:textId="77777777" w:rsidR="00343D64" w:rsidRPr="00343D64" w:rsidRDefault="00343D64" w:rsidP="00F247CD">
      <w:pPr>
        <w:spacing w:before="100" w:beforeAutospacing="1" w:after="100" w:afterAutospacing="1" w:line="240" w:lineRule="auto"/>
        <w:jc w:val="center"/>
        <w:outlineLvl w:val="0"/>
        <w:rPr>
          <w:rFonts w:asciiTheme="majorBidi" w:eastAsia="Times New Roman" w:hAnsiTheme="majorBidi" w:cstheme="majorBidi"/>
          <w:b/>
          <w:bCs/>
          <w:kern w:val="36"/>
          <w:sz w:val="48"/>
          <w:szCs w:val="48"/>
          <w:u w:val="single"/>
          <w:lang w:eastAsia="en-GB"/>
          <w14:ligatures w14:val="none"/>
        </w:rPr>
      </w:pPr>
      <w:r w:rsidRPr="00343D64">
        <w:rPr>
          <w:rFonts w:asciiTheme="majorBidi" w:eastAsia="Times New Roman" w:hAnsiTheme="majorBidi" w:cstheme="majorBidi"/>
          <w:b/>
          <w:bCs/>
          <w:kern w:val="36"/>
          <w:sz w:val="48"/>
          <w:szCs w:val="48"/>
          <w:u w:val="single"/>
          <w:lang w:eastAsia="en-GB"/>
          <w14:ligatures w14:val="none"/>
        </w:rPr>
        <w:t>The Impact of Training of ECG on Knowledge of Healthcare Professionals:</w:t>
      </w:r>
    </w:p>
    <w:p w14:paraId="59722A64"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The electrocardiogram (ECG) is a critical diagnostic tool in the healthcare field, providing essential insights into cardiac function and identifying various cardiovascular conditions. The interpretation of ECG results is a fundamental skill for healthcare professionals, particularly in emergency and critical care settings. However, the proficiency in ECG interpretation varies significantly among practitioners, often influenced by the extent and quality of their training (Thompson et al., 2020). </w:t>
      </w:r>
    </w:p>
    <w:p w14:paraId="0BD1262F"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Training programs that focus on ECG interpretation have been shown to enhance the knowledge and confidence of healthcare professionals, ultimately leading to improved patient outcomes (Smith &amp; Jones, 2021). As cardiovascular diseases remain a leading cause of morbidity and mortality worldwide, it is imperative that healthcare providers possess a robust understanding of ECG principles and practices. Research indicates that structured training can bridge knowledge gaps and bolster the ability to make timely and accurate clinical decisions (Brown et al., 2022). </w:t>
      </w:r>
    </w:p>
    <w:p w14:paraId="71B2831B"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This paper aims to explore the impact of specialized ECG training on the knowledge and skills of healthcare professionals, highlighting the importance of continuous education in the ever-evolving field of cardiology. By assessing the effectiveness of training programs, we can better understand how to equip healthcare workers with the necessary tools to enhance their clinical practice and improve patient care (Wilson et al., 2023). </w:t>
      </w:r>
    </w:p>
    <w:p w14:paraId="5C1DE043" w14:textId="77777777" w:rsidR="000A5892" w:rsidRPr="00F247CD" w:rsidRDefault="000A5892" w:rsidP="00F247CD">
      <w:pPr>
        <w:jc w:val="both"/>
        <w:rPr>
          <w:rFonts w:asciiTheme="majorBidi" w:hAnsiTheme="majorBidi" w:cstheme="majorBidi"/>
          <w:kern w:val="0"/>
          <w:lang w:val="en-GB"/>
        </w:rPr>
      </w:pPr>
    </w:p>
    <w:p w14:paraId="5C11135D" w14:textId="60F0B212" w:rsidR="000A5892" w:rsidRPr="00F247CD" w:rsidRDefault="000A5892" w:rsidP="00F247CD">
      <w:pPr>
        <w:jc w:val="both"/>
        <w:rPr>
          <w:rFonts w:asciiTheme="majorBidi" w:hAnsiTheme="majorBidi" w:cstheme="majorBidi"/>
          <w:kern w:val="0"/>
          <w:lang w:val="en-GB"/>
        </w:rPr>
      </w:pPr>
      <w:r w:rsidRPr="00F247CD">
        <w:rPr>
          <w:rFonts w:asciiTheme="majorBidi" w:hAnsiTheme="majorBidi" w:cstheme="majorBidi"/>
          <w:kern w:val="0"/>
          <w:lang w:val="en-GB"/>
        </w:rPr>
        <w:t>Results:</w:t>
      </w:r>
    </w:p>
    <w:p w14:paraId="408675D9" w14:textId="33E9D58D" w:rsidR="00E6176A" w:rsidRPr="00F247CD" w:rsidRDefault="00E6176A" w:rsidP="00F247CD">
      <w:pPr>
        <w:pStyle w:val="Caption"/>
        <w:keepNext/>
        <w:jc w:val="both"/>
        <w:rPr>
          <w:rFonts w:asciiTheme="majorBidi" w:hAnsiTheme="majorBidi" w:cstheme="majorBidi"/>
        </w:rPr>
      </w:pPr>
      <w:r w:rsidRPr="00F247CD">
        <w:rPr>
          <w:rFonts w:asciiTheme="majorBidi" w:hAnsiTheme="majorBidi" w:cstheme="majorBidi"/>
        </w:rPr>
        <w:t xml:space="preserve">Table </w:t>
      </w:r>
      <w:r w:rsidRPr="00F247CD">
        <w:rPr>
          <w:rFonts w:asciiTheme="majorBidi" w:hAnsiTheme="majorBidi" w:cstheme="majorBidi"/>
        </w:rPr>
        <w:fldChar w:fldCharType="begin"/>
      </w:r>
      <w:r w:rsidRPr="00F247CD">
        <w:rPr>
          <w:rFonts w:asciiTheme="majorBidi" w:hAnsiTheme="majorBidi" w:cstheme="majorBidi"/>
        </w:rPr>
        <w:instrText xml:space="preserve"> SEQ Table \* ARABIC </w:instrText>
      </w:r>
      <w:r w:rsidRPr="00F247CD">
        <w:rPr>
          <w:rFonts w:asciiTheme="majorBidi" w:hAnsiTheme="majorBidi" w:cstheme="majorBidi"/>
        </w:rPr>
        <w:fldChar w:fldCharType="separate"/>
      </w:r>
      <w:r w:rsidRPr="00F247CD">
        <w:rPr>
          <w:rFonts w:asciiTheme="majorBidi" w:hAnsiTheme="majorBidi" w:cstheme="majorBidi"/>
          <w:noProof/>
        </w:rPr>
        <w:t>1</w:t>
      </w:r>
      <w:r w:rsidRPr="00F247CD">
        <w:rPr>
          <w:rFonts w:asciiTheme="majorBidi" w:hAnsiTheme="majorBidi" w:cstheme="majorBidi"/>
        </w:rPr>
        <w:fldChar w:fldCharType="end"/>
      </w:r>
      <w:r w:rsidRPr="00F247CD">
        <w:rPr>
          <w:rFonts w:asciiTheme="majorBidi" w:hAnsiTheme="majorBidi" w:cstheme="majorBidi"/>
          <w:lang w:val="en-US"/>
        </w:rPr>
        <w:t>-Characteristics of Study Participants</w:t>
      </w:r>
    </w:p>
    <w:tbl>
      <w:tblPr>
        <w:tblW w:w="8944" w:type="dxa"/>
        <w:tblLook w:val="04A0" w:firstRow="1" w:lastRow="0" w:firstColumn="1" w:lastColumn="0" w:noHBand="0" w:noVBand="1"/>
      </w:tblPr>
      <w:tblGrid>
        <w:gridCol w:w="6467"/>
        <w:gridCol w:w="2477"/>
      </w:tblGrid>
      <w:tr w:rsidR="000A5892" w:rsidRPr="000A5892" w14:paraId="56B37414" w14:textId="77777777" w:rsidTr="000A5892">
        <w:trPr>
          <w:trHeight w:val="426"/>
        </w:trPr>
        <w:tc>
          <w:tcPr>
            <w:tcW w:w="64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DDE2B"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32"/>
                <w:szCs w:val="32"/>
                <w:lang w:eastAsia="en-GB"/>
                <w14:ligatures w14:val="none"/>
              </w:rPr>
            </w:pPr>
            <w:r w:rsidRPr="000A5892">
              <w:rPr>
                <w:rFonts w:asciiTheme="majorBidi" w:eastAsia="Times New Roman" w:hAnsiTheme="majorBidi" w:cstheme="majorBidi"/>
                <w:b/>
                <w:bCs/>
                <w:color w:val="333333"/>
                <w:kern w:val="0"/>
                <w:sz w:val="32"/>
                <w:szCs w:val="32"/>
                <w:lang w:eastAsia="en-GB"/>
                <w14:ligatures w14:val="none"/>
              </w:rPr>
              <w:t>Variable</w:t>
            </w:r>
          </w:p>
        </w:tc>
        <w:tc>
          <w:tcPr>
            <w:tcW w:w="2477" w:type="dxa"/>
            <w:tcBorders>
              <w:top w:val="single" w:sz="4" w:space="0" w:color="auto"/>
              <w:left w:val="nil"/>
              <w:bottom w:val="single" w:sz="4" w:space="0" w:color="auto"/>
              <w:right w:val="single" w:sz="4" w:space="0" w:color="auto"/>
            </w:tcBorders>
            <w:shd w:val="clear" w:color="auto" w:fill="auto"/>
            <w:noWrap/>
            <w:vAlign w:val="bottom"/>
            <w:hideMark/>
          </w:tcPr>
          <w:p w14:paraId="3910DB22"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32"/>
                <w:szCs w:val="32"/>
                <w:lang w:eastAsia="en-GB"/>
                <w14:ligatures w14:val="none"/>
              </w:rPr>
            </w:pPr>
            <w:r w:rsidRPr="000A5892">
              <w:rPr>
                <w:rFonts w:asciiTheme="majorBidi" w:eastAsia="Times New Roman" w:hAnsiTheme="majorBidi" w:cstheme="majorBidi"/>
                <w:b/>
                <w:bCs/>
                <w:color w:val="333333"/>
                <w:kern w:val="0"/>
                <w:sz w:val="32"/>
                <w:szCs w:val="32"/>
                <w:lang w:eastAsia="en-GB"/>
                <w14:ligatures w14:val="none"/>
              </w:rPr>
              <w:t>N = 100</w:t>
            </w:r>
            <w:r w:rsidRPr="000A5892">
              <w:rPr>
                <w:rFonts w:asciiTheme="majorBidi" w:eastAsia="Times New Roman" w:hAnsiTheme="majorBidi" w:cstheme="majorBidi"/>
                <w:i/>
                <w:iCs/>
                <w:color w:val="333333"/>
                <w:kern w:val="0"/>
                <w:vertAlign w:val="superscript"/>
                <w:lang w:eastAsia="en-GB"/>
                <w14:ligatures w14:val="none"/>
              </w:rPr>
              <w:t>1</w:t>
            </w:r>
          </w:p>
        </w:tc>
      </w:tr>
      <w:tr w:rsidR="000A5892" w:rsidRPr="000A5892" w14:paraId="4AD5361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3D78FD1B"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Designation</w:t>
            </w:r>
          </w:p>
        </w:tc>
        <w:tc>
          <w:tcPr>
            <w:tcW w:w="2477" w:type="dxa"/>
            <w:tcBorders>
              <w:top w:val="nil"/>
              <w:left w:val="nil"/>
              <w:bottom w:val="single" w:sz="4" w:space="0" w:color="auto"/>
              <w:right w:val="single" w:sz="4" w:space="0" w:color="auto"/>
            </w:tcBorders>
            <w:shd w:val="clear" w:color="auto" w:fill="auto"/>
            <w:noWrap/>
            <w:vAlign w:val="bottom"/>
            <w:hideMark/>
          </w:tcPr>
          <w:p w14:paraId="6592C67A" w14:textId="0CEC5900"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03981B14"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0884520"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HO</w:t>
            </w:r>
          </w:p>
        </w:tc>
        <w:tc>
          <w:tcPr>
            <w:tcW w:w="2477" w:type="dxa"/>
            <w:tcBorders>
              <w:top w:val="nil"/>
              <w:left w:val="nil"/>
              <w:bottom w:val="single" w:sz="4" w:space="0" w:color="auto"/>
              <w:right w:val="single" w:sz="4" w:space="0" w:color="auto"/>
            </w:tcBorders>
            <w:shd w:val="clear" w:color="auto" w:fill="auto"/>
            <w:noWrap/>
            <w:vAlign w:val="bottom"/>
            <w:hideMark/>
          </w:tcPr>
          <w:p w14:paraId="36D0CEBE"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65 (65%)</w:t>
            </w:r>
          </w:p>
        </w:tc>
      </w:tr>
      <w:tr w:rsidR="000A5892" w:rsidRPr="000A5892" w14:paraId="73600AAE"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D538FC0"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PGT</w:t>
            </w:r>
          </w:p>
        </w:tc>
        <w:tc>
          <w:tcPr>
            <w:tcW w:w="2477" w:type="dxa"/>
            <w:tcBorders>
              <w:top w:val="nil"/>
              <w:left w:val="nil"/>
              <w:bottom w:val="single" w:sz="4" w:space="0" w:color="auto"/>
              <w:right w:val="single" w:sz="4" w:space="0" w:color="auto"/>
            </w:tcBorders>
            <w:shd w:val="clear" w:color="auto" w:fill="auto"/>
            <w:noWrap/>
            <w:vAlign w:val="bottom"/>
            <w:hideMark/>
          </w:tcPr>
          <w:p w14:paraId="09BEAF84"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35 (35%)</w:t>
            </w:r>
          </w:p>
        </w:tc>
      </w:tr>
      <w:tr w:rsidR="000A5892" w:rsidRPr="000A5892" w14:paraId="0A15C99D"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4686AA19"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Gender</w:t>
            </w:r>
          </w:p>
        </w:tc>
        <w:tc>
          <w:tcPr>
            <w:tcW w:w="2477" w:type="dxa"/>
            <w:tcBorders>
              <w:top w:val="nil"/>
              <w:left w:val="nil"/>
              <w:bottom w:val="single" w:sz="4" w:space="0" w:color="auto"/>
              <w:right w:val="single" w:sz="4" w:space="0" w:color="auto"/>
            </w:tcBorders>
            <w:shd w:val="clear" w:color="auto" w:fill="auto"/>
            <w:noWrap/>
            <w:vAlign w:val="bottom"/>
            <w:hideMark/>
          </w:tcPr>
          <w:p w14:paraId="373868B5" w14:textId="621EFD29"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19064945"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00E4480F"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Female</w:t>
            </w:r>
          </w:p>
        </w:tc>
        <w:tc>
          <w:tcPr>
            <w:tcW w:w="2477" w:type="dxa"/>
            <w:tcBorders>
              <w:top w:val="nil"/>
              <w:left w:val="nil"/>
              <w:bottom w:val="single" w:sz="4" w:space="0" w:color="auto"/>
              <w:right w:val="single" w:sz="4" w:space="0" w:color="auto"/>
            </w:tcBorders>
            <w:shd w:val="clear" w:color="auto" w:fill="auto"/>
            <w:noWrap/>
            <w:vAlign w:val="bottom"/>
            <w:hideMark/>
          </w:tcPr>
          <w:p w14:paraId="50AD0785"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53 (53%)</w:t>
            </w:r>
          </w:p>
        </w:tc>
      </w:tr>
      <w:tr w:rsidR="000A5892" w:rsidRPr="000A5892" w14:paraId="62F809E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13593BE"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Male</w:t>
            </w:r>
          </w:p>
        </w:tc>
        <w:tc>
          <w:tcPr>
            <w:tcW w:w="2477" w:type="dxa"/>
            <w:tcBorders>
              <w:top w:val="nil"/>
              <w:left w:val="nil"/>
              <w:bottom w:val="single" w:sz="4" w:space="0" w:color="auto"/>
              <w:right w:val="single" w:sz="4" w:space="0" w:color="auto"/>
            </w:tcBorders>
            <w:shd w:val="clear" w:color="auto" w:fill="auto"/>
            <w:noWrap/>
            <w:vAlign w:val="bottom"/>
            <w:hideMark/>
          </w:tcPr>
          <w:p w14:paraId="1F7191EE"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47 (47%)</w:t>
            </w:r>
          </w:p>
        </w:tc>
      </w:tr>
      <w:tr w:rsidR="000A5892" w:rsidRPr="000A5892" w14:paraId="23348F7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60A02CAB"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Age Group</w:t>
            </w:r>
          </w:p>
        </w:tc>
        <w:tc>
          <w:tcPr>
            <w:tcW w:w="2477" w:type="dxa"/>
            <w:tcBorders>
              <w:top w:val="nil"/>
              <w:left w:val="nil"/>
              <w:bottom w:val="single" w:sz="4" w:space="0" w:color="auto"/>
              <w:right w:val="single" w:sz="4" w:space="0" w:color="auto"/>
            </w:tcBorders>
            <w:shd w:val="clear" w:color="auto" w:fill="auto"/>
            <w:noWrap/>
            <w:vAlign w:val="bottom"/>
            <w:hideMark/>
          </w:tcPr>
          <w:p w14:paraId="7BDE88D7" w14:textId="59E2F585"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6F096B4D"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3270059F"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20 to 25 years</w:t>
            </w:r>
          </w:p>
        </w:tc>
        <w:tc>
          <w:tcPr>
            <w:tcW w:w="2477" w:type="dxa"/>
            <w:tcBorders>
              <w:top w:val="nil"/>
              <w:left w:val="nil"/>
              <w:bottom w:val="single" w:sz="4" w:space="0" w:color="auto"/>
              <w:right w:val="single" w:sz="4" w:space="0" w:color="auto"/>
            </w:tcBorders>
            <w:shd w:val="clear" w:color="auto" w:fill="auto"/>
            <w:noWrap/>
            <w:vAlign w:val="bottom"/>
            <w:hideMark/>
          </w:tcPr>
          <w:p w14:paraId="0E946C3F"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64 (64%)</w:t>
            </w:r>
          </w:p>
        </w:tc>
      </w:tr>
      <w:tr w:rsidR="000A5892" w:rsidRPr="000A5892" w14:paraId="7ED18304"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57664E93"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25 to 30 years</w:t>
            </w:r>
          </w:p>
        </w:tc>
        <w:tc>
          <w:tcPr>
            <w:tcW w:w="2477" w:type="dxa"/>
            <w:tcBorders>
              <w:top w:val="nil"/>
              <w:left w:val="nil"/>
              <w:bottom w:val="single" w:sz="4" w:space="0" w:color="auto"/>
              <w:right w:val="single" w:sz="4" w:space="0" w:color="auto"/>
            </w:tcBorders>
            <w:shd w:val="clear" w:color="auto" w:fill="auto"/>
            <w:noWrap/>
            <w:vAlign w:val="bottom"/>
            <w:hideMark/>
          </w:tcPr>
          <w:p w14:paraId="0AE142EF"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36 (36%)</w:t>
            </w:r>
          </w:p>
        </w:tc>
      </w:tr>
      <w:tr w:rsidR="000A5892" w:rsidRPr="000A5892" w14:paraId="003277C1"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469C397F"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Work Experience</w:t>
            </w:r>
          </w:p>
        </w:tc>
        <w:tc>
          <w:tcPr>
            <w:tcW w:w="2477" w:type="dxa"/>
            <w:tcBorders>
              <w:top w:val="nil"/>
              <w:left w:val="nil"/>
              <w:bottom w:val="single" w:sz="4" w:space="0" w:color="auto"/>
              <w:right w:val="single" w:sz="4" w:space="0" w:color="auto"/>
            </w:tcBorders>
            <w:shd w:val="clear" w:color="auto" w:fill="auto"/>
            <w:noWrap/>
            <w:vAlign w:val="bottom"/>
            <w:hideMark/>
          </w:tcPr>
          <w:p w14:paraId="72569F84" w14:textId="72F1D12C"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0FA41D41"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B28D0B3"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&lt;=2</w:t>
            </w:r>
          </w:p>
        </w:tc>
        <w:tc>
          <w:tcPr>
            <w:tcW w:w="2477" w:type="dxa"/>
            <w:tcBorders>
              <w:top w:val="nil"/>
              <w:left w:val="nil"/>
              <w:bottom w:val="single" w:sz="4" w:space="0" w:color="auto"/>
              <w:right w:val="single" w:sz="4" w:space="0" w:color="auto"/>
            </w:tcBorders>
            <w:shd w:val="clear" w:color="auto" w:fill="auto"/>
            <w:noWrap/>
            <w:vAlign w:val="bottom"/>
            <w:hideMark/>
          </w:tcPr>
          <w:p w14:paraId="57DB3599"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47 (47%)</w:t>
            </w:r>
          </w:p>
        </w:tc>
      </w:tr>
      <w:tr w:rsidR="000A5892" w:rsidRPr="000A5892" w14:paraId="60D8DE14"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60304F5"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2 to 3 years</w:t>
            </w:r>
          </w:p>
        </w:tc>
        <w:tc>
          <w:tcPr>
            <w:tcW w:w="2477" w:type="dxa"/>
            <w:tcBorders>
              <w:top w:val="nil"/>
              <w:left w:val="nil"/>
              <w:bottom w:val="single" w:sz="4" w:space="0" w:color="auto"/>
              <w:right w:val="single" w:sz="4" w:space="0" w:color="auto"/>
            </w:tcBorders>
            <w:shd w:val="clear" w:color="auto" w:fill="auto"/>
            <w:noWrap/>
            <w:vAlign w:val="bottom"/>
            <w:hideMark/>
          </w:tcPr>
          <w:p w14:paraId="5CE1E346"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32 (32%)</w:t>
            </w:r>
          </w:p>
        </w:tc>
      </w:tr>
      <w:tr w:rsidR="000A5892" w:rsidRPr="000A5892" w14:paraId="125445BC"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ACC8372"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4 to 5 years</w:t>
            </w:r>
          </w:p>
        </w:tc>
        <w:tc>
          <w:tcPr>
            <w:tcW w:w="2477" w:type="dxa"/>
            <w:tcBorders>
              <w:top w:val="nil"/>
              <w:left w:val="nil"/>
              <w:bottom w:val="single" w:sz="4" w:space="0" w:color="auto"/>
              <w:right w:val="single" w:sz="4" w:space="0" w:color="auto"/>
            </w:tcBorders>
            <w:shd w:val="clear" w:color="auto" w:fill="auto"/>
            <w:noWrap/>
            <w:vAlign w:val="bottom"/>
            <w:hideMark/>
          </w:tcPr>
          <w:p w14:paraId="12DBB8FC"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21 (21%)</w:t>
            </w:r>
          </w:p>
        </w:tc>
      </w:tr>
      <w:tr w:rsidR="000A5892" w:rsidRPr="000A5892" w14:paraId="608A9D9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4603FAE3"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lastRenderedPageBreak/>
              <w:t>Hospital Unit</w:t>
            </w:r>
          </w:p>
        </w:tc>
        <w:tc>
          <w:tcPr>
            <w:tcW w:w="2477" w:type="dxa"/>
            <w:tcBorders>
              <w:top w:val="nil"/>
              <w:left w:val="nil"/>
              <w:bottom w:val="single" w:sz="4" w:space="0" w:color="auto"/>
              <w:right w:val="single" w:sz="4" w:space="0" w:color="auto"/>
            </w:tcBorders>
            <w:shd w:val="clear" w:color="auto" w:fill="auto"/>
            <w:noWrap/>
            <w:vAlign w:val="bottom"/>
            <w:hideMark/>
          </w:tcPr>
          <w:p w14:paraId="21BCBC25" w14:textId="41F2675E"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2E548CAE"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40CBEAD7"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Emergency Medicine</w:t>
            </w:r>
          </w:p>
        </w:tc>
        <w:tc>
          <w:tcPr>
            <w:tcW w:w="2477" w:type="dxa"/>
            <w:tcBorders>
              <w:top w:val="nil"/>
              <w:left w:val="nil"/>
              <w:bottom w:val="single" w:sz="4" w:space="0" w:color="auto"/>
              <w:right w:val="single" w:sz="4" w:space="0" w:color="auto"/>
            </w:tcBorders>
            <w:shd w:val="clear" w:color="auto" w:fill="auto"/>
            <w:noWrap/>
            <w:vAlign w:val="bottom"/>
            <w:hideMark/>
          </w:tcPr>
          <w:p w14:paraId="69FD1D29"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24 (24%)</w:t>
            </w:r>
          </w:p>
        </w:tc>
      </w:tr>
      <w:tr w:rsidR="000A5892" w:rsidRPr="000A5892" w14:paraId="517F6FBB"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CA5C06E"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ICU</w:t>
            </w:r>
          </w:p>
        </w:tc>
        <w:tc>
          <w:tcPr>
            <w:tcW w:w="2477" w:type="dxa"/>
            <w:tcBorders>
              <w:top w:val="nil"/>
              <w:left w:val="nil"/>
              <w:bottom w:val="single" w:sz="4" w:space="0" w:color="auto"/>
              <w:right w:val="single" w:sz="4" w:space="0" w:color="auto"/>
            </w:tcBorders>
            <w:shd w:val="clear" w:color="auto" w:fill="auto"/>
            <w:noWrap/>
            <w:vAlign w:val="bottom"/>
            <w:hideMark/>
          </w:tcPr>
          <w:p w14:paraId="7DD43843"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28 (28%)</w:t>
            </w:r>
          </w:p>
        </w:tc>
      </w:tr>
      <w:tr w:rsidR="000A5892" w:rsidRPr="000A5892" w14:paraId="61F54DE4"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0EE297C"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Medicine</w:t>
            </w:r>
          </w:p>
        </w:tc>
        <w:tc>
          <w:tcPr>
            <w:tcW w:w="2477" w:type="dxa"/>
            <w:tcBorders>
              <w:top w:val="nil"/>
              <w:left w:val="nil"/>
              <w:bottom w:val="single" w:sz="4" w:space="0" w:color="auto"/>
              <w:right w:val="single" w:sz="4" w:space="0" w:color="auto"/>
            </w:tcBorders>
            <w:shd w:val="clear" w:color="auto" w:fill="auto"/>
            <w:noWrap/>
            <w:vAlign w:val="bottom"/>
            <w:hideMark/>
          </w:tcPr>
          <w:p w14:paraId="6BBA37A3"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34 (34%)</w:t>
            </w:r>
          </w:p>
        </w:tc>
      </w:tr>
      <w:tr w:rsidR="000A5892" w:rsidRPr="000A5892" w14:paraId="6C7C5FCD"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ABA1067"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Surgery</w:t>
            </w:r>
          </w:p>
        </w:tc>
        <w:tc>
          <w:tcPr>
            <w:tcW w:w="2477" w:type="dxa"/>
            <w:tcBorders>
              <w:top w:val="nil"/>
              <w:left w:val="nil"/>
              <w:bottom w:val="single" w:sz="4" w:space="0" w:color="auto"/>
              <w:right w:val="single" w:sz="4" w:space="0" w:color="auto"/>
            </w:tcBorders>
            <w:shd w:val="clear" w:color="auto" w:fill="auto"/>
            <w:noWrap/>
            <w:vAlign w:val="bottom"/>
            <w:hideMark/>
          </w:tcPr>
          <w:p w14:paraId="6F13FA75"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14 (14%)</w:t>
            </w:r>
          </w:p>
        </w:tc>
      </w:tr>
      <w:tr w:rsidR="000A5892" w:rsidRPr="000A5892" w14:paraId="293600C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A741AB4"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Years of Education</w:t>
            </w:r>
          </w:p>
        </w:tc>
        <w:tc>
          <w:tcPr>
            <w:tcW w:w="2477" w:type="dxa"/>
            <w:tcBorders>
              <w:top w:val="nil"/>
              <w:left w:val="nil"/>
              <w:bottom w:val="single" w:sz="4" w:space="0" w:color="auto"/>
              <w:right w:val="single" w:sz="4" w:space="0" w:color="auto"/>
            </w:tcBorders>
            <w:shd w:val="clear" w:color="auto" w:fill="auto"/>
            <w:noWrap/>
            <w:vAlign w:val="bottom"/>
            <w:hideMark/>
          </w:tcPr>
          <w:p w14:paraId="5331667F" w14:textId="0B7447A9"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p>
        </w:tc>
      </w:tr>
      <w:tr w:rsidR="000A5892" w:rsidRPr="000A5892" w14:paraId="2D8A68E7"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7C7FE87"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2</w:t>
            </w:r>
          </w:p>
        </w:tc>
        <w:tc>
          <w:tcPr>
            <w:tcW w:w="2477" w:type="dxa"/>
            <w:tcBorders>
              <w:top w:val="nil"/>
              <w:left w:val="nil"/>
              <w:bottom w:val="single" w:sz="4" w:space="0" w:color="auto"/>
              <w:right w:val="single" w:sz="4" w:space="0" w:color="auto"/>
            </w:tcBorders>
            <w:shd w:val="clear" w:color="auto" w:fill="auto"/>
            <w:noWrap/>
            <w:vAlign w:val="bottom"/>
            <w:hideMark/>
          </w:tcPr>
          <w:p w14:paraId="6E7C31AB"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1 (1.0%)</w:t>
            </w:r>
          </w:p>
        </w:tc>
      </w:tr>
      <w:tr w:rsidR="000A5892" w:rsidRPr="000A5892" w14:paraId="1C1CBA43"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31E74275"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3</w:t>
            </w:r>
          </w:p>
        </w:tc>
        <w:tc>
          <w:tcPr>
            <w:tcW w:w="2477" w:type="dxa"/>
            <w:tcBorders>
              <w:top w:val="nil"/>
              <w:left w:val="nil"/>
              <w:bottom w:val="single" w:sz="4" w:space="0" w:color="auto"/>
              <w:right w:val="single" w:sz="4" w:space="0" w:color="auto"/>
            </w:tcBorders>
            <w:shd w:val="clear" w:color="auto" w:fill="auto"/>
            <w:noWrap/>
            <w:vAlign w:val="bottom"/>
            <w:hideMark/>
          </w:tcPr>
          <w:p w14:paraId="0FED427F"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2 (2.0%)</w:t>
            </w:r>
          </w:p>
        </w:tc>
      </w:tr>
      <w:tr w:rsidR="000A5892" w:rsidRPr="000A5892" w14:paraId="2981DC3D"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52251B1"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5</w:t>
            </w:r>
          </w:p>
        </w:tc>
        <w:tc>
          <w:tcPr>
            <w:tcW w:w="2477" w:type="dxa"/>
            <w:tcBorders>
              <w:top w:val="nil"/>
              <w:left w:val="nil"/>
              <w:bottom w:val="single" w:sz="4" w:space="0" w:color="auto"/>
              <w:right w:val="single" w:sz="4" w:space="0" w:color="auto"/>
            </w:tcBorders>
            <w:shd w:val="clear" w:color="auto" w:fill="auto"/>
            <w:noWrap/>
            <w:vAlign w:val="bottom"/>
            <w:hideMark/>
          </w:tcPr>
          <w:p w14:paraId="60A4B35D"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61 (61%)</w:t>
            </w:r>
          </w:p>
        </w:tc>
      </w:tr>
      <w:tr w:rsidR="000A5892" w:rsidRPr="000A5892" w14:paraId="03C7DE28"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5EAE7C0"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6</w:t>
            </w:r>
          </w:p>
        </w:tc>
        <w:tc>
          <w:tcPr>
            <w:tcW w:w="2477" w:type="dxa"/>
            <w:tcBorders>
              <w:top w:val="nil"/>
              <w:left w:val="nil"/>
              <w:bottom w:val="single" w:sz="4" w:space="0" w:color="auto"/>
              <w:right w:val="single" w:sz="4" w:space="0" w:color="auto"/>
            </w:tcBorders>
            <w:shd w:val="clear" w:color="auto" w:fill="auto"/>
            <w:noWrap/>
            <w:vAlign w:val="bottom"/>
            <w:hideMark/>
          </w:tcPr>
          <w:p w14:paraId="4FC9978D"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10 (10%)</w:t>
            </w:r>
          </w:p>
        </w:tc>
      </w:tr>
      <w:tr w:rsidR="000A5892" w:rsidRPr="000A5892" w14:paraId="1BB2BFD0"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5A26785"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7</w:t>
            </w:r>
          </w:p>
        </w:tc>
        <w:tc>
          <w:tcPr>
            <w:tcW w:w="2477" w:type="dxa"/>
            <w:tcBorders>
              <w:top w:val="nil"/>
              <w:left w:val="nil"/>
              <w:bottom w:val="single" w:sz="4" w:space="0" w:color="auto"/>
              <w:right w:val="single" w:sz="4" w:space="0" w:color="auto"/>
            </w:tcBorders>
            <w:shd w:val="clear" w:color="auto" w:fill="auto"/>
            <w:noWrap/>
            <w:vAlign w:val="bottom"/>
            <w:hideMark/>
          </w:tcPr>
          <w:p w14:paraId="626A1BA0"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14 (14%)</w:t>
            </w:r>
          </w:p>
        </w:tc>
      </w:tr>
      <w:tr w:rsidR="000A5892" w:rsidRPr="000A5892" w14:paraId="4B55007D"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33755D9D"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    8</w:t>
            </w:r>
          </w:p>
        </w:tc>
        <w:tc>
          <w:tcPr>
            <w:tcW w:w="2477" w:type="dxa"/>
            <w:tcBorders>
              <w:top w:val="nil"/>
              <w:left w:val="nil"/>
              <w:bottom w:val="single" w:sz="4" w:space="0" w:color="auto"/>
              <w:right w:val="single" w:sz="4" w:space="0" w:color="auto"/>
            </w:tcBorders>
            <w:shd w:val="clear" w:color="auto" w:fill="auto"/>
            <w:noWrap/>
            <w:vAlign w:val="bottom"/>
            <w:hideMark/>
          </w:tcPr>
          <w:p w14:paraId="38951BB7"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12 (12%)</w:t>
            </w:r>
          </w:p>
        </w:tc>
      </w:tr>
      <w:tr w:rsidR="000A5892" w:rsidRPr="000A5892" w14:paraId="1D359DD6"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700A06B"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Desire to Learn ECG</w:t>
            </w:r>
          </w:p>
        </w:tc>
        <w:tc>
          <w:tcPr>
            <w:tcW w:w="2477" w:type="dxa"/>
            <w:tcBorders>
              <w:top w:val="nil"/>
              <w:left w:val="nil"/>
              <w:bottom w:val="single" w:sz="4" w:space="0" w:color="auto"/>
              <w:right w:val="single" w:sz="4" w:space="0" w:color="auto"/>
            </w:tcBorders>
            <w:shd w:val="clear" w:color="auto" w:fill="auto"/>
            <w:noWrap/>
            <w:vAlign w:val="bottom"/>
            <w:hideMark/>
          </w:tcPr>
          <w:p w14:paraId="0E16D6A8"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53 (53%)</w:t>
            </w:r>
          </w:p>
        </w:tc>
      </w:tr>
      <w:tr w:rsidR="000A5892" w:rsidRPr="000A5892" w14:paraId="6B861250"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2CF4D410"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Previous Education on ECG</w:t>
            </w:r>
          </w:p>
        </w:tc>
        <w:tc>
          <w:tcPr>
            <w:tcW w:w="2477" w:type="dxa"/>
            <w:tcBorders>
              <w:top w:val="nil"/>
              <w:left w:val="nil"/>
              <w:bottom w:val="single" w:sz="4" w:space="0" w:color="auto"/>
              <w:right w:val="single" w:sz="4" w:space="0" w:color="auto"/>
            </w:tcBorders>
            <w:shd w:val="clear" w:color="auto" w:fill="auto"/>
            <w:noWrap/>
            <w:vAlign w:val="bottom"/>
            <w:hideMark/>
          </w:tcPr>
          <w:p w14:paraId="477841EE"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53 (53%)</w:t>
            </w:r>
          </w:p>
        </w:tc>
      </w:tr>
      <w:tr w:rsidR="000A5892" w:rsidRPr="000A5892" w14:paraId="34AE214B"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1797283"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Pre-training Score</w:t>
            </w:r>
          </w:p>
        </w:tc>
        <w:tc>
          <w:tcPr>
            <w:tcW w:w="2477" w:type="dxa"/>
            <w:tcBorders>
              <w:top w:val="nil"/>
              <w:left w:val="nil"/>
              <w:bottom w:val="single" w:sz="4" w:space="0" w:color="auto"/>
              <w:right w:val="single" w:sz="4" w:space="0" w:color="auto"/>
            </w:tcBorders>
            <w:shd w:val="clear" w:color="auto" w:fill="auto"/>
            <w:noWrap/>
            <w:vAlign w:val="bottom"/>
            <w:hideMark/>
          </w:tcPr>
          <w:p w14:paraId="7B2AD158"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52.5 (13.8)</w:t>
            </w:r>
          </w:p>
        </w:tc>
      </w:tr>
      <w:tr w:rsidR="000A5892" w:rsidRPr="000A5892" w14:paraId="11943C65"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17400BB2" w14:textId="77777777" w:rsidR="000A5892" w:rsidRPr="000A5892" w:rsidRDefault="000A5892" w:rsidP="00F247CD">
            <w:pPr>
              <w:spacing w:after="0" w:line="240" w:lineRule="auto"/>
              <w:jc w:val="both"/>
              <w:rPr>
                <w:rFonts w:asciiTheme="majorBidi" w:eastAsia="Times New Roman" w:hAnsiTheme="majorBidi" w:cstheme="majorBidi"/>
                <w:b/>
                <w:bCs/>
                <w:color w:val="333333"/>
                <w:kern w:val="0"/>
                <w:sz w:val="28"/>
                <w:szCs w:val="28"/>
                <w:lang w:eastAsia="en-GB"/>
                <w14:ligatures w14:val="none"/>
              </w:rPr>
            </w:pPr>
            <w:r w:rsidRPr="000A5892">
              <w:rPr>
                <w:rFonts w:asciiTheme="majorBidi" w:eastAsia="Times New Roman" w:hAnsiTheme="majorBidi" w:cstheme="majorBidi"/>
                <w:b/>
                <w:bCs/>
                <w:color w:val="333333"/>
                <w:kern w:val="0"/>
                <w:sz w:val="28"/>
                <w:szCs w:val="28"/>
                <w:lang w:eastAsia="en-GB"/>
                <w14:ligatures w14:val="none"/>
              </w:rPr>
              <w:t>Post-training Score</w:t>
            </w:r>
          </w:p>
        </w:tc>
        <w:tc>
          <w:tcPr>
            <w:tcW w:w="2477" w:type="dxa"/>
            <w:tcBorders>
              <w:top w:val="nil"/>
              <w:left w:val="nil"/>
              <w:bottom w:val="single" w:sz="4" w:space="0" w:color="auto"/>
              <w:right w:val="single" w:sz="4" w:space="0" w:color="auto"/>
            </w:tcBorders>
            <w:shd w:val="clear" w:color="auto" w:fill="auto"/>
            <w:noWrap/>
            <w:vAlign w:val="bottom"/>
            <w:hideMark/>
          </w:tcPr>
          <w:p w14:paraId="0F0D7027" w14:textId="77777777" w:rsidR="000A5892" w:rsidRPr="000A5892" w:rsidRDefault="000A5892" w:rsidP="00F247CD">
            <w:pPr>
              <w:spacing w:after="0" w:line="240" w:lineRule="auto"/>
              <w:jc w:val="both"/>
              <w:rPr>
                <w:rFonts w:asciiTheme="majorBidi" w:eastAsia="Times New Roman" w:hAnsiTheme="majorBidi" w:cstheme="majorBidi"/>
                <w:color w:val="333333"/>
                <w:kern w:val="0"/>
                <w:sz w:val="28"/>
                <w:szCs w:val="28"/>
                <w:lang w:eastAsia="en-GB"/>
                <w14:ligatures w14:val="none"/>
              </w:rPr>
            </w:pPr>
            <w:r w:rsidRPr="000A5892">
              <w:rPr>
                <w:rFonts w:asciiTheme="majorBidi" w:eastAsia="Times New Roman" w:hAnsiTheme="majorBidi" w:cstheme="majorBidi"/>
                <w:color w:val="333333"/>
                <w:kern w:val="0"/>
                <w:sz w:val="28"/>
                <w:szCs w:val="28"/>
                <w:lang w:eastAsia="en-GB"/>
                <w14:ligatures w14:val="none"/>
              </w:rPr>
              <w:t>68.6 (17.4)</w:t>
            </w:r>
          </w:p>
        </w:tc>
      </w:tr>
      <w:tr w:rsidR="000A5892" w:rsidRPr="000A5892" w14:paraId="02A56FEE" w14:textId="77777777" w:rsidTr="000A5892">
        <w:trPr>
          <w:trHeight w:val="365"/>
        </w:trPr>
        <w:tc>
          <w:tcPr>
            <w:tcW w:w="6467" w:type="dxa"/>
            <w:tcBorders>
              <w:top w:val="nil"/>
              <w:left w:val="single" w:sz="4" w:space="0" w:color="auto"/>
              <w:bottom w:val="single" w:sz="4" w:space="0" w:color="auto"/>
              <w:right w:val="single" w:sz="4" w:space="0" w:color="auto"/>
            </w:tcBorders>
            <w:shd w:val="clear" w:color="auto" w:fill="auto"/>
            <w:noWrap/>
            <w:vAlign w:val="bottom"/>
            <w:hideMark/>
          </w:tcPr>
          <w:p w14:paraId="7EDDB951" w14:textId="77777777" w:rsidR="000A5892" w:rsidRPr="000A5892" w:rsidRDefault="000A5892" w:rsidP="00F247CD">
            <w:pPr>
              <w:spacing w:after="0" w:line="240" w:lineRule="auto"/>
              <w:jc w:val="both"/>
              <w:rPr>
                <w:rFonts w:asciiTheme="majorBidi" w:eastAsia="Times New Roman" w:hAnsiTheme="majorBidi" w:cstheme="majorBidi"/>
                <w:i/>
                <w:iCs/>
                <w:color w:val="333333"/>
                <w:kern w:val="0"/>
                <w:sz w:val="22"/>
                <w:szCs w:val="22"/>
                <w:lang w:eastAsia="en-GB"/>
                <w14:ligatures w14:val="none"/>
              </w:rPr>
            </w:pPr>
            <w:r w:rsidRPr="000A5892">
              <w:rPr>
                <w:rFonts w:asciiTheme="majorBidi" w:eastAsia="Times New Roman" w:hAnsiTheme="majorBidi" w:cstheme="majorBidi"/>
                <w:i/>
                <w:iCs/>
                <w:color w:val="333333"/>
                <w:kern w:val="0"/>
                <w:sz w:val="22"/>
                <w:szCs w:val="22"/>
                <w:vertAlign w:val="superscript"/>
                <w:lang w:eastAsia="en-GB"/>
                <w14:ligatures w14:val="none"/>
              </w:rPr>
              <w:t>1</w:t>
            </w:r>
            <w:r w:rsidRPr="000A5892">
              <w:rPr>
                <w:rFonts w:asciiTheme="majorBidi" w:eastAsia="Times New Roman" w:hAnsiTheme="majorBidi" w:cstheme="majorBidi"/>
                <w:color w:val="333333"/>
                <w:kern w:val="0"/>
                <w:sz w:val="28"/>
                <w:szCs w:val="28"/>
                <w:lang w:eastAsia="en-GB"/>
                <w14:ligatures w14:val="none"/>
              </w:rPr>
              <w:t> Mean (SD); n (%)</w:t>
            </w:r>
          </w:p>
        </w:tc>
        <w:tc>
          <w:tcPr>
            <w:tcW w:w="2477" w:type="dxa"/>
            <w:tcBorders>
              <w:top w:val="nil"/>
              <w:left w:val="nil"/>
              <w:bottom w:val="single" w:sz="4" w:space="0" w:color="auto"/>
              <w:right w:val="single" w:sz="4" w:space="0" w:color="auto"/>
            </w:tcBorders>
            <w:shd w:val="clear" w:color="auto" w:fill="auto"/>
            <w:noWrap/>
            <w:vAlign w:val="bottom"/>
            <w:hideMark/>
          </w:tcPr>
          <w:p w14:paraId="1B1B5555" w14:textId="06EDCEF4" w:rsidR="000A5892" w:rsidRPr="000A5892" w:rsidRDefault="000A5892" w:rsidP="00F247CD">
            <w:pPr>
              <w:spacing w:after="0" w:line="240" w:lineRule="auto"/>
              <w:jc w:val="both"/>
              <w:rPr>
                <w:rFonts w:asciiTheme="majorBidi" w:eastAsia="Times New Roman" w:hAnsiTheme="majorBidi" w:cstheme="majorBidi"/>
                <w:color w:val="000000"/>
                <w:kern w:val="0"/>
                <w:lang w:eastAsia="en-GB"/>
                <w14:ligatures w14:val="none"/>
              </w:rPr>
            </w:pPr>
          </w:p>
        </w:tc>
      </w:tr>
    </w:tbl>
    <w:p w14:paraId="12D8EDA7" w14:textId="77777777" w:rsidR="00FF08AA" w:rsidRPr="00F247CD" w:rsidRDefault="00FF08AA" w:rsidP="00F247CD">
      <w:pPr>
        <w:jc w:val="both"/>
        <w:rPr>
          <w:rFonts w:asciiTheme="majorBidi" w:hAnsiTheme="majorBidi" w:cstheme="majorBidi"/>
        </w:rPr>
      </w:pPr>
    </w:p>
    <w:p w14:paraId="102E9711" w14:textId="5B5F6164" w:rsidR="000A5892" w:rsidRPr="00F247CD" w:rsidRDefault="00E6176A" w:rsidP="00F247CD">
      <w:pPr>
        <w:jc w:val="both"/>
        <w:rPr>
          <w:rFonts w:asciiTheme="majorBidi" w:hAnsiTheme="majorBidi" w:cstheme="majorBidi"/>
        </w:rPr>
      </w:pPr>
      <w:r w:rsidRPr="00F247CD">
        <w:rPr>
          <w:rFonts w:asciiTheme="majorBidi" w:hAnsiTheme="majorBidi" w:cstheme="majorBidi"/>
        </w:rPr>
        <w:t>The table</w:t>
      </w:r>
      <w:r w:rsidRPr="00F247CD">
        <w:rPr>
          <w:rFonts w:asciiTheme="majorBidi" w:hAnsiTheme="majorBidi" w:cstheme="majorBidi"/>
        </w:rPr>
        <w:t>-1</w:t>
      </w:r>
      <w:r w:rsidRPr="00F247CD">
        <w:rPr>
          <w:rFonts w:asciiTheme="majorBidi" w:hAnsiTheme="majorBidi" w:cstheme="majorBidi"/>
        </w:rPr>
        <w:t xml:space="preserve"> summarizes the characteristics of 100 participants, with 65% being House Officers (HO) and 35% Postgraduate Trainees (PGT). The gender distribution was nearly equal, with 53% female and 47% male. Most participants (64%) were aged 20 to 25 years, with the remaining 36% aged 25 to 30 years. Regarding work experience, 47% had ≤2 years, 32% had 2 to 3 years, and 21% had 4 to 5 years. Participants were distributed across hospital units: Emergency Medicine (24%), ICU (28%), Medicine (34%), and Surgery (14%). A majority had 5 years of education (61%), while smaller proportions had 6 (10%), 7 (14%), or 8 years (12%). About half expressed a desire to learn ECG (53%) and had previous education on ECG (53%). Knowledge scores improved from a mean pre-training score of 52.5 (SD 13.8) to a post-training score of 68.6 (SD 17.4), indicating a significant improvement following the training.</w:t>
      </w:r>
    </w:p>
    <w:p w14:paraId="507565F8" w14:textId="77777777" w:rsidR="00E6176A" w:rsidRPr="00F247CD" w:rsidRDefault="000A5892" w:rsidP="00F247CD">
      <w:pPr>
        <w:keepNext/>
        <w:jc w:val="both"/>
        <w:rPr>
          <w:rFonts w:asciiTheme="majorBidi" w:hAnsiTheme="majorBidi" w:cstheme="majorBidi"/>
        </w:rPr>
      </w:pPr>
      <w:r w:rsidRPr="00F247CD">
        <w:rPr>
          <w:rFonts w:asciiTheme="majorBidi" w:hAnsiTheme="majorBidi" w:cstheme="majorBidi"/>
          <w:noProof/>
        </w:rPr>
        <w:lastRenderedPageBreak/>
        <w:drawing>
          <wp:inline distT="0" distB="0" distL="0" distR="0" wp14:anchorId="256FD926" wp14:editId="071596CA">
            <wp:extent cx="5731510" cy="3744595"/>
            <wp:effectExtent l="0" t="0" r="0" b="1905"/>
            <wp:docPr id="48609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90751" name="Picture 4860907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44595"/>
                    </a:xfrm>
                    <a:prstGeom prst="rect">
                      <a:avLst/>
                    </a:prstGeom>
                  </pic:spPr>
                </pic:pic>
              </a:graphicData>
            </a:graphic>
          </wp:inline>
        </w:drawing>
      </w:r>
    </w:p>
    <w:p w14:paraId="761C2A35" w14:textId="4215F9A8" w:rsidR="000A5892" w:rsidRPr="00F247CD" w:rsidRDefault="00E6176A" w:rsidP="00F247CD">
      <w:pPr>
        <w:pStyle w:val="Caption"/>
        <w:jc w:val="both"/>
        <w:rPr>
          <w:rFonts w:asciiTheme="majorBidi" w:hAnsiTheme="majorBidi" w:cstheme="majorBidi"/>
        </w:rPr>
      </w:pPr>
      <w:r w:rsidRPr="00F247CD">
        <w:rPr>
          <w:rFonts w:asciiTheme="majorBidi" w:hAnsiTheme="majorBidi" w:cstheme="majorBidi"/>
        </w:rPr>
        <w:t xml:space="preserve">Figure </w:t>
      </w:r>
      <w:r w:rsidRPr="00F247CD">
        <w:rPr>
          <w:rFonts w:asciiTheme="majorBidi" w:hAnsiTheme="majorBidi" w:cstheme="majorBidi"/>
        </w:rPr>
        <w:fldChar w:fldCharType="begin"/>
      </w:r>
      <w:r w:rsidRPr="00F247CD">
        <w:rPr>
          <w:rFonts w:asciiTheme="majorBidi" w:hAnsiTheme="majorBidi" w:cstheme="majorBidi"/>
        </w:rPr>
        <w:instrText xml:space="preserve"> SEQ Figure \* ARABIC </w:instrText>
      </w:r>
      <w:r w:rsidRPr="00F247CD">
        <w:rPr>
          <w:rFonts w:asciiTheme="majorBidi" w:hAnsiTheme="majorBidi" w:cstheme="majorBidi"/>
        </w:rPr>
        <w:fldChar w:fldCharType="separate"/>
      </w:r>
      <w:r w:rsidRPr="00F247CD">
        <w:rPr>
          <w:rFonts w:asciiTheme="majorBidi" w:hAnsiTheme="majorBidi" w:cstheme="majorBidi"/>
          <w:noProof/>
        </w:rPr>
        <w:t>1</w:t>
      </w:r>
      <w:r w:rsidRPr="00F247CD">
        <w:rPr>
          <w:rFonts w:asciiTheme="majorBidi" w:hAnsiTheme="majorBidi" w:cstheme="majorBidi"/>
        </w:rPr>
        <w:fldChar w:fldCharType="end"/>
      </w:r>
      <w:r w:rsidRPr="00F247CD">
        <w:rPr>
          <w:rFonts w:asciiTheme="majorBidi" w:hAnsiTheme="majorBidi" w:cstheme="majorBidi"/>
          <w:lang w:val="en-US"/>
        </w:rPr>
        <w:t>-Comparison of Pre and Post Knowledge Score</w:t>
      </w:r>
    </w:p>
    <w:p w14:paraId="012402E7" w14:textId="0CC7B59B" w:rsidR="000A5892" w:rsidRPr="00F247CD" w:rsidRDefault="000A5892" w:rsidP="00F247CD">
      <w:pPr>
        <w:jc w:val="both"/>
        <w:rPr>
          <w:rFonts w:asciiTheme="majorBidi" w:hAnsiTheme="majorBidi" w:cstheme="majorBidi"/>
        </w:rPr>
      </w:pPr>
      <w:r w:rsidRPr="00F247CD">
        <w:rPr>
          <w:rFonts w:asciiTheme="majorBidi" w:hAnsiTheme="majorBidi" w:cstheme="majorBidi"/>
        </w:rPr>
        <w:t xml:space="preserve">Figure 1 illustrates the comparison of </w:t>
      </w:r>
      <w:r w:rsidRPr="00F247CD">
        <w:rPr>
          <w:rStyle w:val="Strong"/>
          <w:rFonts w:asciiTheme="majorBidi" w:hAnsiTheme="majorBidi" w:cstheme="majorBidi"/>
        </w:rPr>
        <w:t>Pre_Score</w:t>
      </w:r>
      <w:r w:rsidRPr="00F247CD">
        <w:rPr>
          <w:rFonts w:asciiTheme="majorBidi" w:hAnsiTheme="majorBidi" w:cstheme="majorBidi"/>
        </w:rPr>
        <w:t xml:space="preserve"> and </w:t>
      </w:r>
      <w:r w:rsidRPr="00F247CD">
        <w:rPr>
          <w:rStyle w:val="Strong"/>
          <w:rFonts w:asciiTheme="majorBidi" w:hAnsiTheme="majorBidi" w:cstheme="majorBidi"/>
        </w:rPr>
        <w:t>Post_score</w:t>
      </w:r>
      <w:r w:rsidRPr="00F247CD">
        <w:rPr>
          <w:rFonts w:asciiTheme="majorBidi" w:hAnsiTheme="majorBidi" w:cstheme="majorBidi"/>
        </w:rPr>
        <w:t xml:space="preserve"> using a boxplot. The median </w:t>
      </w:r>
      <w:r w:rsidRPr="00F247CD">
        <w:rPr>
          <w:rStyle w:val="Strong"/>
          <w:rFonts w:asciiTheme="majorBidi" w:hAnsiTheme="majorBidi" w:cstheme="majorBidi"/>
        </w:rPr>
        <w:t>Post_score</w:t>
      </w:r>
      <w:r w:rsidRPr="00F247CD">
        <w:rPr>
          <w:rFonts w:asciiTheme="majorBidi" w:hAnsiTheme="majorBidi" w:cstheme="majorBidi"/>
        </w:rPr>
        <w:t xml:space="preserve"> was higher than the median </w:t>
      </w:r>
      <w:r w:rsidRPr="00F247CD">
        <w:rPr>
          <w:rStyle w:val="Strong"/>
          <w:rFonts w:asciiTheme="majorBidi" w:hAnsiTheme="majorBidi" w:cstheme="majorBidi"/>
        </w:rPr>
        <w:t>Pre_Score</w:t>
      </w:r>
      <w:r w:rsidRPr="00F247CD">
        <w:rPr>
          <w:rFonts w:asciiTheme="majorBidi" w:hAnsiTheme="majorBidi" w:cstheme="majorBidi"/>
        </w:rPr>
        <w:t>, suggesting an improvement in knowledge following the intervention. The Wilcoxon Signed-Rank Test showed a statistically significant difference (p = 3.8e-10), indicating that the observed knowledge gain was not due to random chance. Additionally, the variability in scores decreased post-intervention, reflecting more consistent performance among participants.</w:t>
      </w:r>
    </w:p>
    <w:p w14:paraId="119898C1" w14:textId="77777777" w:rsidR="00E6176A" w:rsidRPr="00F247CD" w:rsidRDefault="000A5892" w:rsidP="00F247CD">
      <w:pPr>
        <w:keepNext/>
        <w:jc w:val="both"/>
        <w:rPr>
          <w:rFonts w:asciiTheme="majorBidi" w:hAnsiTheme="majorBidi" w:cstheme="majorBidi"/>
        </w:rPr>
      </w:pPr>
      <w:r w:rsidRPr="00F247CD">
        <w:rPr>
          <w:rFonts w:asciiTheme="majorBidi" w:hAnsiTheme="majorBidi" w:cstheme="majorBidi"/>
          <w:noProof/>
        </w:rPr>
        <w:lastRenderedPageBreak/>
        <w:drawing>
          <wp:inline distT="0" distB="0" distL="0" distR="0" wp14:anchorId="604DB3EB" wp14:editId="63BA8F3A">
            <wp:extent cx="5731510" cy="3975735"/>
            <wp:effectExtent l="0" t="0" r="0" b="0"/>
            <wp:docPr id="1916573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661" name="Picture 19165736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75735"/>
                    </a:xfrm>
                    <a:prstGeom prst="rect">
                      <a:avLst/>
                    </a:prstGeom>
                  </pic:spPr>
                </pic:pic>
              </a:graphicData>
            </a:graphic>
          </wp:inline>
        </w:drawing>
      </w:r>
    </w:p>
    <w:p w14:paraId="394B7130" w14:textId="2A32907D" w:rsidR="000A5892" w:rsidRPr="00F247CD" w:rsidRDefault="00E6176A" w:rsidP="00F247CD">
      <w:pPr>
        <w:pStyle w:val="Caption"/>
        <w:jc w:val="both"/>
        <w:rPr>
          <w:rFonts w:asciiTheme="majorBidi" w:hAnsiTheme="majorBidi" w:cstheme="majorBidi"/>
        </w:rPr>
      </w:pPr>
      <w:r w:rsidRPr="00F247CD">
        <w:rPr>
          <w:rFonts w:asciiTheme="majorBidi" w:hAnsiTheme="majorBidi" w:cstheme="majorBidi"/>
        </w:rPr>
        <w:t xml:space="preserve">Figure </w:t>
      </w:r>
      <w:r w:rsidRPr="00F247CD">
        <w:rPr>
          <w:rFonts w:asciiTheme="majorBidi" w:hAnsiTheme="majorBidi" w:cstheme="majorBidi"/>
        </w:rPr>
        <w:fldChar w:fldCharType="begin"/>
      </w:r>
      <w:r w:rsidRPr="00F247CD">
        <w:rPr>
          <w:rFonts w:asciiTheme="majorBidi" w:hAnsiTheme="majorBidi" w:cstheme="majorBidi"/>
        </w:rPr>
        <w:instrText xml:space="preserve"> SEQ Figure \* ARABIC </w:instrText>
      </w:r>
      <w:r w:rsidRPr="00F247CD">
        <w:rPr>
          <w:rFonts w:asciiTheme="majorBidi" w:hAnsiTheme="majorBidi" w:cstheme="majorBidi"/>
        </w:rPr>
        <w:fldChar w:fldCharType="separate"/>
      </w:r>
      <w:r w:rsidRPr="00F247CD">
        <w:rPr>
          <w:rFonts w:asciiTheme="majorBidi" w:hAnsiTheme="majorBidi" w:cstheme="majorBidi"/>
          <w:noProof/>
        </w:rPr>
        <w:t>2</w:t>
      </w:r>
      <w:r w:rsidRPr="00F247CD">
        <w:rPr>
          <w:rFonts w:asciiTheme="majorBidi" w:hAnsiTheme="majorBidi" w:cstheme="majorBidi"/>
        </w:rPr>
        <w:fldChar w:fldCharType="end"/>
      </w:r>
      <w:r w:rsidRPr="00F247CD">
        <w:rPr>
          <w:rFonts w:asciiTheme="majorBidi" w:hAnsiTheme="majorBidi" w:cstheme="majorBidi"/>
          <w:lang w:val="en-US"/>
        </w:rPr>
        <w:t>-Comparison of Pre and Post Knowledge score between Male and female</w:t>
      </w:r>
    </w:p>
    <w:p w14:paraId="34DF25B1" w14:textId="77777777" w:rsidR="00E6176A" w:rsidRPr="00F247CD" w:rsidRDefault="00E6176A" w:rsidP="00F247CD">
      <w:pPr>
        <w:pStyle w:val="NormalWeb"/>
        <w:jc w:val="both"/>
        <w:rPr>
          <w:rFonts w:asciiTheme="majorBidi" w:hAnsiTheme="majorBidi" w:cstheme="majorBidi"/>
        </w:rPr>
      </w:pPr>
      <w:r w:rsidRPr="00F247CD">
        <w:rPr>
          <w:rFonts w:asciiTheme="majorBidi" w:hAnsiTheme="majorBidi" w:cstheme="majorBidi"/>
        </w:rPr>
        <w:t xml:space="preserve">Figure 2 illustrates the comparison of </w:t>
      </w:r>
      <w:r w:rsidRPr="00F247CD">
        <w:rPr>
          <w:rStyle w:val="Strong"/>
          <w:rFonts w:asciiTheme="majorBidi" w:eastAsiaTheme="majorEastAsia" w:hAnsiTheme="majorBidi" w:cstheme="majorBidi"/>
        </w:rPr>
        <w:t>Pre_Score</w:t>
      </w:r>
      <w:r w:rsidRPr="00F247CD">
        <w:rPr>
          <w:rFonts w:asciiTheme="majorBidi" w:hAnsiTheme="majorBidi" w:cstheme="majorBidi"/>
        </w:rPr>
        <w:t xml:space="preserve"> and </w:t>
      </w:r>
      <w:r w:rsidRPr="00F247CD">
        <w:rPr>
          <w:rStyle w:val="Strong"/>
          <w:rFonts w:asciiTheme="majorBidi" w:eastAsiaTheme="majorEastAsia" w:hAnsiTheme="majorBidi" w:cstheme="majorBidi"/>
        </w:rPr>
        <w:t>Post_score</w:t>
      </w:r>
      <w:r w:rsidRPr="00F247CD">
        <w:rPr>
          <w:rFonts w:asciiTheme="majorBidi" w:hAnsiTheme="majorBidi" w:cstheme="majorBidi"/>
        </w:rPr>
        <w:t xml:space="preserve"> by gender using a boxplot. The median scores for males and females were comparable across both Pre_Score and Post_score. Wilcoxon test results indicate no statistically significant differences in scores between genders (Pre_Score: p = 0.65; Post_score: p = 0.63). These findings suggest that the intervention was equally effective for both genders, with no apparent gender bias in knowledge change.</w:t>
      </w:r>
    </w:p>
    <w:p w14:paraId="7E7D75E8" w14:textId="77777777" w:rsidR="00E6176A" w:rsidRPr="00F247CD" w:rsidRDefault="00E6176A" w:rsidP="00F247CD">
      <w:pPr>
        <w:jc w:val="both"/>
        <w:rPr>
          <w:rFonts w:asciiTheme="majorBidi" w:hAnsiTheme="majorBidi" w:cstheme="majorBidi"/>
        </w:rPr>
      </w:pPr>
    </w:p>
    <w:p w14:paraId="68306796" w14:textId="77777777" w:rsidR="00E6176A" w:rsidRPr="00F247CD" w:rsidRDefault="000A5892" w:rsidP="00F247CD">
      <w:pPr>
        <w:keepNext/>
        <w:jc w:val="both"/>
        <w:rPr>
          <w:rFonts w:asciiTheme="majorBidi" w:hAnsiTheme="majorBidi" w:cstheme="majorBidi"/>
        </w:rPr>
      </w:pPr>
      <w:r w:rsidRPr="00F247CD">
        <w:rPr>
          <w:rFonts w:asciiTheme="majorBidi" w:hAnsiTheme="majorBidi" w:cstheme="majorBidi"/>
          <w:noProof/>
        </w:rPr>
        <w:lastRenderedPageBreak/>
        <w:drawing>
          <wp:inline distT="0" distB="0" distL="0" distR="0" wp14:anchorId="575B36EB" wp14:editId="78EE297D">
            <wp:extent cx="5731510" cy="3408045"/>
            <wp:effectExtent l="0" t="0" r="0" b="0"/>
            <wp:docPr id="1034612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12987" name="Picture 1034612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inline>
        </w:drawing>
      </w:r>
    </w:p>
    <w:p w14:paraId="6505D1C2" w14:textId="689CB6EB" w:rsidR="000A5892" w:rsidRPr="00F247CD" w:rsidRDefault="00E6176A" w:rsidP="00F247CD">
      <w:pPr>
        <w:pStyle w:val="Caption"/>
        <w:jc w:val="both"/>
        <w:rPr>
          <w:rFonts w:asciiTheme="majorBidi" w:hAnsiTheme="majorBidi" w:cstheme="majorBidi"/>
        </w:rPr>
      </w:pPr>
      <w:r w:rsidRPr="00F247CD">
        <w:rPr>
          <w:rFonts w:asciiTheme="majorBidi" w:hAnsiTheme="majorBidi" w:cstheme="majorBidi"/>
        </w:rPr>
        <w:t xml:space="preserve">Figure </w:t>
      </w:r>
      <w:r w:rsidRPr="00F247CD">
        <w:rPr>
          <w:rFonts w:asciiTheme="majorBidi" w:hAnsiTheme="majorBidi" w:cstheme="majorBidi"/>
        </w:rPr>
        <w:fldChar w:fldCharType="begin"/>
      </w:r>
      <w:r w:rsidRPr="00F247CD">
        <w:rPr>
          <w:rFonts w:asciiTheme="majorBidi" w:hAnsiTheme="majorBidi" w:cstheme="majorBidi"/>
        </w:rPr>
        <w:instrText xml:space="preserve"> SEQ Figure \* ARABIC </w:instrText>
      </w:r>
      <w:r w:rsidRPr="00F247CD">
        <w:rPr>
          <w:rFonts w:asciiTheme="majorBidi" w:hAnsiTheme="majorBidi" w:cstheme="majorBidi"/>
        </w:rPr>
        <w:fldChar w:fldCharType="separate"/>
      </w:r>
      <w:r w:rsidRPr="00F247CD">
        <w:rPr>
          <w:rFonts w:asciiTheme="majorBidi" w:hAnsiTheme="majorBidi" w:cstheme="majorBidi"/>
          <w:noProof/>
        </w:rPr>
        <w:t>3</w:t>
      </w:r>
      <w:r w:rsidRPr="00F247CD">
        <w:rPr>
          <w:rFonts w:asciiTheme="majorBidi" w:hAnsiTheme="majorBidi" w:cstheme="majorBidi"/>
        </w:rPr>
        <w:fldChar w:fldCharType="end"/>
      </w:r>
      <w:r w:rsidRPr="00F247CD">
        <w:rPr>
          <w:rFonts w:asciiTheme="majorBidi" w:hAnsiTheme="majorBidi" w:cstheme="majorBidi"/>
          <w:lang w:val="en-US"/>
        </w:rPr>
        <w:t>-Comparison of Pre and Post Knowledge score in age groups</w:t>
      </w:r>
    </w:p>
    <w:p w14:paraId="0C7E0EE9" w14:textId="1405FAB7" w:rsidR="00E6176A" w:rsidRPr="00F247CD" w:rsidRDefault="00E6176A" w:rsidP="00F247CD">
      <w:pPr>
        <w:jc w:val="both"/>
        <w:rPr>
          <w:rFonts w:asciiTheme="majorBidi" w:hAnsiTheme="majorBidi" w:cstheme="majorBidi"/>
        </w:rPr>
      </w:pPr>
      <w:r w:rsidRPr="00F247CD">
        <w:rPr>
          <w:rFonts w:asciiTheme="majorBidi" w:hAnsiTheme="majorBidi" w:cstheme="majorBidi"/>
        </w:rPr>
        <w:t xml:space="preserve">Figure 3 </w:t>
      </w:r>
      <w:r w:rsidRPr="00F247CD">
        <w:rPr>
          <w:rFonts w:asciiTheme="majorBidi" w:hAnsiTheme="majorBidi" w:cstheme="majorBidi"/>
        </w:rPr>
        <w:t>compares</w:t>
      </w:r>
      <w:r w:rsidRPr="00F247CD">
        <w:rPr>
          <w:rFonts w:asciiTheme="majorBidi" w:hAnsiTheme="majorBidi" w:cstheme="majorBidi"/>
        </w:rPr>
        <w:t xml:space="preserve"> knowledge scores (Pre and Post) by age group. The median scores for </w:t>
      </w:r>
      <w:r w:rsidRPr="00F247CD">
        <w:rPr>
          <w:rStyle w:val="Strong"/>
          <w:rFonts w:asciiTheme="majorBidi" w:hAnsiTheme="majorBidi" w:cstheme="majorBidi"/>
        </w:rPr>
        <w:t>20 to 25 years</w:t>
      </w:r>
      <w:r w:rsidRPr="00F247CD">
        <w:rPr>
          <w:rFonts w:asciiTheme="majorBidi" w:hAnsiTheme="majorBidi" w:cstheme="majorBidi"/>
        </w:rPr>
        <w:t xml:space="preserve"> and </w:t>
      </w:r>
      <w:r w:rsidRPr="00F247CD">
        <w:rPr>
          <w:rStyle w:val="Strong"/>
          <w:rFonts w:asciiTheme="majorBidi" w:hAnsiTheme="majorBidi" w:cstheme="majorBidi"/>
        </w:rPr>
        <w:t>25 to 30 years</w:t>
      </w:r>
      <w:r w:rsidRPr="00F247CD">
        <w:rPr>
          <w:rFonts w:asciiTheme="majorBidi" w:hAnsiTheme="majorBidi" w:cstheme="majorBidi"/>
        </w:rPr>
        <w:t xml:space="preserve"> were similar across both Pre_Score and Post_score. The Wilcoxon test indicated no statistically significant differences between the two groups for Pre_Score (p = 0.42) or Post_score (p = 0.54). These findings suggest that the intervention had a consistent impact across different age groups.</w:t>
      </w:r>
    </w:p>
    <w:p w14:paraId="05170174" w14:textId="77777777" w:rsidR="00E6176A" w:rsidRPr="00F247CD" w:rsidRDefault="000A5892" w:rsidP="00F247CD">
      <w:pPr>
        <w:keepNext/>
        <w:jc w:val="both"/>
        <w:rPr>
          <w:rFonts w:asciiTheme="majorBidi" w:hAnsiTheme="majorBidi" w:cstheme="majorBidi"/>
        </w:rPr>
      </w:pPr>
      <w:r w:rsidRPr="00F247CD">
        <w:rPr>
          <w:rFonts w:asciiTheme="majorBidi" w:hAnsiTheme="majorBidi" w:cstheme="majorBidi"/>
          <w:noProof/>
        </w:rPr>
        <w:drawing>
          <wp:inline distT="0" distB="0" distL="0" distR="0" wp14:anchorId="08A6A7B4" wp14:editId="1C04A301">
            <wp:extent cx="5731510" cy="2611755"/>
            <wp:effectExtent l="0" t="0" r="0" b="4445"/>
            <wp:docPr id="1571650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50969" name="Picture 15716509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inline>
        </w:drawing>
      </w:r>
    </w:p>
    <w:p w14:paraId="233C38C0" w14:textId="56D0AF2D" w:rsidR="000A5892" w:rsidRPr="00F247CD" w:rsidRDefault="00E6176A" w:rsidP="00F247CD">
      <w:pPr>
        <w:pStyle w:val="Caption"/>
        <w:jc w:val="both"/>
        <w:rPr>
          <w:rFonts w:asciiTheme="majorBidi" w:hAnsiTheme="majorBidi" w:cstheme="majorBidi"/>
        </w:rPr>
      </w:pPr>
      <w:r w:rsidRPr="00F247CD">
        <w:rPr>
          <w:rFonts w:asciiTheme="majorBidi" w:hAnsiTheme="majorBidi" w:cstheme="majorBidi"/>
        </w:rPr>
        <w:t xml:space="preserve">Figure </w:t>
      </w:r>
      <w:r w:rsidRPr="00F247CD">
        <w:rPr>
          <w:rFonts w:asciiTheme="majorBidi" w:hAnsiTheme="majorBidi" w:cstheme="majorBidi"/>
        </w:rPr>
        <w:fldChar w:fldCharType="begin"/>
      </w:r>
      <w:r w:rsidRPr="00F247CD">
        <w:rPr>
          <w:rFonts w:asciiTheme="majorBidi" w:hAnsiTheme="majorBidi" w:cstheme="majorBidi"/>
        </w:rPr>
        <w:instrText xml:space="preserve"> SEQ Figure \* ARABIC </w:instrText>
      </w:r>
      <w:r w:rsidRPr="00F247CD">
        <w:rPr>
          <w:rFonts w:asciiTheme="majorBidi" w:hAnsiTheme="majorBidi" w:cstheme="majorBidi"/>
        </w:rPr>
        <w:fldChar w:fldCharType="separate"/>
      </w:r>
      <w:r w:rsidRPr="00F247CD">
        <w:rPr>
          <w:rFonts w:asciiTheme="majorBidi" w:hAnsiTheme="majorBidi" w:cstheme="majorBidi"/>
          <w:noProof/>
        </w:rPr>
        <w:t>4</w:t>
      </w:r>
      <w:r w:rsidRPr="00F247CD">
        <w:rPr>
          <w:rFonts w:asciiTheme="majorBidi" w:hAnsiTheme="majorBidi" w:cstheme="majorBidi"/>
        </w:rPr>
        <w:fldChar w:fldCharType="end"/>
      </w:r>
      <w:r w:rsidRPr="00F247CD">
        <w:rPr>
          <w:rFonts w:asciiTheme="majorBidi" w:hAnsiTheme="majorBidi" w:cstheme="majorBidi"/>
          <w:lang w:val="en-US"/>
        </w:rPr>
        <w:t>-Comparison of Pre and Post Knowledge Score in years of work experience</w:t>
      </w:r>
    </w:p>
    <w:p w14:paraId="198A68AC" w14:textId="2D0BC738" w:rsidR="00E6176A" w:rsidRPr="00F247CD" w:rsidRDefault="00E6176A" w:rsidP="00F247CD">
      <w:pPr>
        <w:jc w:val="both"/>
        <w:rPr>
          <w:rFonts w:asciiTheme="majorBidi" w:hAnsiTheme="majorBidi" w:cstheme="majorBidi"/>
        </w:rPr>
      </w:pPr>
      <w:r w:rsidRPr="00F247CD">
        <w:rPr>
          <w:rFonts w:asciiTheme="majorBidi" w:hAnsiTheme="majorBidi" w:cstheme="majorBidi"/>
        </w:rPr>
        <w:t>Figure 4 presents the comparison of knowledge scores (</w:t>
      </w:r>
      <w:r w:rsidRPr="00F247CD">
        <w:rPr>
          <w:rFonts w:asciiTheme="majorBidi" w:hAnsiTheme="majorBidi" w:cstheme="majorBidi"/>
        </w:rPr>
        <w:t>pre-</w:t>
      </w:r>
      <w:r w:rsidRPr="00F247CD">
        <w:rPr>
          <w:rFonts w:asciiTheme="majorBidi" w:hAnsiTheme="majorBidi" w:cstheme="majorBidi"/>
        </w:rPr>
        <w:t xml:space="preserve"> and </w:t>
      </w:r>
      <w:r w:rsidRPr="00F247CD">
        <w:rPr>
          <w:rFonts w:asciiTheme="majorBidi" w:hAnsiTheme="majorBidi" w:cstheme="majorBidi"/>
        </w:rPr>
        <w:t>post-</w:t>
      </w:r>
      <w:r w:rsidRPr="00F247CD">
        <w:rPr>
          <w:rFonts w:asciiTheme="majorBidi" w:hAnsiTheme="majorBidi" w:cstheme="majorBidi"/>
        </w:rPr>
        <w:t xml:space="preserve">) by years of work experience. The median scores for the three experience groups (≤ 2 years, 2 to 3 years, and 4 to 5 years) were similar across both Pre_Score and Post_score. Variability was higher in the </w:t>
      </w:r>
      <w:r w:rsidRPr="00F247CD">
        <w:rPr>
          <w:rStyle w:val="Strong"/>
          <w:rFonts w:asciiTheme="majorBidi" w:hAnsiTheme="majorBidi" w:cstheme="majorBidi"/>
        </w:rPr>
        <w:t>4 to 5 years</w:t>
      </w:r>
      <w:r w:rsidRPr="00F247CD">
        <w:rPr>
          <w:rFonts w:asciiTheme="majorBidi" w:hAnsiTheme="majorBidi" w:cstheme="majorBidi"/>
        </w:rPr>
        <w:t xml:space="preserve"> group, as shown by longer whiskers and outliers. Wilcoxon test results revealed no </w:t>
      </w:r>
      <w:r w:rsidRPr="00F247CD">
        <w:rPr>
          <w:rFonts w:asciiTheme="majorBidi" w:hAnsiTheme="majorBidi" w:cstheme="majorBidi"/>
        </w:rPr>
        <w:lastRenderedPageBreak/>
        <w:t>statistically significant differences between experience groups for Pre_Score (p = 0.82) or Post_score (p = 0.69). These findings suggest that work experience had no measurable impact on knowledge scores.</w:t>
      </w:r>
    </w:p>
    <w:p w14:paraId="7B8B3E80" w14:textId="77777777" w:rsidR="00E6176A" w:rsidRPr="00F247CD" w:rsidRDefault="000A5892" w:rsidP="00F247CD">
      <w:pPr>
        <w:keepNext/>
        <w:jc w:val="both"/>
        <w:rPr>
          <w:rFonts w:asciiTheme="majorBidi" w:hAnsiTheme="majorBidi" w:cstheme="majorBidi"/>
        </w:rPr>
      </w:pPr>
      <w:r w:rsidRPr="00F247CD">
        <w:rPr>
          <w:rFonts w:asciiTheme="majorBidi" w:hAnsiTheme="majorBidi" w:cstheme="majorBidi"/>
          <w:noProof/>
        </w:rPr>
        <w:drawing>
          <wp:inline distT="0" distB="0" distL="0" distR="0" wp14:anchorId="278B5428" wp14:editId="1797221E">
            <wp:extent cx="5731510" cy="3121660"/>
            <wp:effectExtent l="0" t="0" r="0" b="2540"/>
            <wp:docPr id="1332738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38771" name="Picture 13327387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78500559" w14:textId="183E25F0" w:rsidR="000A5892" w:rsidRPr="00F247CD" w:rsidRDefault="00E6176A" w:rsidP="00F247CD">
      <w:pPr>
        <w:pStyle w:val="Caption"/>
        <w:jc w:val="both"/>
        <w:rPr>
          <w:rFonts w:asciiTheme="majorBidi" w:hAnsiTheme="majorBidi" w:cstheme="majorBidi"/>
        </w:rPr>
      </w:pPr>
      <w:r w:rsidRPr="00F247CD">
        <w:rPr>
          <w:rFonts w:asciiTheme="majorBidi" w:hAnsiTheme="majorBidi" w:cstheme="majorBidi"/>
        </w:rPr>
        <w:t xml:space="preserve">Figure </w:t>
      </w:r>
      <w:r w:rsidRPr="00F247CD">
        <w:rPr>
          <w:rFonts w:asciiTheme="majorBidi" w:hAnsiTheme="majorBidi" w:cstheme="majorBidi"/>
        </w:rPr>
        <w:fldChar w:fldCharType="begin"/>
      </w:r>
      <w:r w:rsidRPr="00F247CD">
        <w:rPr>
          <w:rFonts w:asciiTheme="majorBidi" w:hAnsiTheme="majorBidi" w:cstheme="majorBidi"/>
        </w:rPr>
        <w:instrText xml:space="preserve"> SEQ Figure \* ARABIC </w:instrText>
      </w:r>
      <w:r w:rsidRPr="00F247CD">
        <w:rPr>
          <w:rFonts w:asciiTheme="majorBidi" w:hAnsiTheme="majorBidi" w:cstheme="majorBidi"/>
        </w:rPr>
        <w:fldChar w:fldCharType="separate"/>
      </w:r>
      <w:r w:rsidRPr="00F247CD">
        <w:rPr>
          <w:rFonts w:asciiTheme="majorBidi" w:hAnsiTheme="majorBidi" w:cstheme="majorBidi"/>
          <w:noProof/>
        </w:rPr>
        <w:t>5</w:t>
      </w:r>
      <w:r w:rsidRPr="00F247CD">
        <w:rPr>
          <w:rFonts w:asciiTheme="majorBidi" w:hAnsiTheme="majorBidi" w:cstheme="majorBidi"/>
        </w:rPr>
        <w:fldChar w:fldCharType="end"/>
      </w:r>
      <w:r w:rsidRPr="00F247CD">
        <w:rPr>
          <w:rFonts w:asciiTheme="majorBidi" w:hAnsiTheme="majorBidi" w:cstheme="majorBidi"/>
          <w:lang w:val="en-US"/>
        </w:rPr>
        <w:t>-Comparison of Pre and Post knowledge scores in different hospital units</w:t>
      </w:r>
    </w:p>
    <w:p w14:paraId="2254BFCF" w14:textId="39D01E92" w:rsidR="00E6176A" w:rsidRPr="00F247CD" w:rsidRDefault="00E6176A" w:rsidP="00F247CD">
      <w:pPr>
        <w:jc w:val="both"/>
        <w:rPr>
          <w:rFonts w:asciiTheme="majorBidi" w:hAnsiTheme="majorBidi" w:cstheme="majorBidi"/>
        </w:rPr>
      </w:pPr>
      <w:r w:rsidRPr="00F247CD">
        <w:rPr>
          <w:rFonts w:asciiTheme="majorBidi" w:hAnsiTheme="majorBidi" w:cstheme="majorBidi"/>
        </w:rPr>
        <w:t xml:space="preserve">Figure 5 illustrates the comparison of knowledge scores (Pre and Post) by hospital unit. The median </w:t>
      </w:r>
      <w:r w:rsidRPr="00F247CD">
        <w:rPr>
          <w:rFonts w:asciiTheme="majorBidi" w:hAnsiTheme="majorBidi" w:cstheme="majorBidi"/>
        </w:rPr>
        <w:t xml:space="preserve">post </w:t>
      </w:r>
      <w:r w:rsidRPr="00F247CD">
        <w:rPr>
          <w:rStyle w:val="Strong"/>
          <w:rFonts w:asciiTheme="majorBidi" w:hAnsiTheme="majorBidi" w:cstheme="majorBidi"/>
        </w:rPr>
        <w:t>score</w:t>
      </w:r>
      <w:r w:rsidRPr="00F247CD">
        <w:rPr>
          <w:rFonts w:asciiTheme="majorBidi" w:hAnsiTheme="majorBidi" w:cstheme="majorBidi"/>
        </w:rPr>
        <w:t xml:space="preserve"> was highest for the </w:t>
      </w:r>
      <w:r w:rsidRPr="00F247CD">
        <w:rPr>
          <w:rStyle w:val="Strong"/>
          <w:rFonts w:asciiTheme="majorBidi" w:hAnsiTheme="majorBidi" w:cstheme="majorBidi"/>
        </w:rPr>
        <w:t>Surgery</w:t>
      </w:r>
      <w:r w:rsidRPr="00F247CD">
        <w:rPr>
          <w:rFonts w:asciiTheme="majorBidi" w:hAnsiTheme="majorBidi" w:cstheme="majorBidi"/>
        </w:rPr>
        <w:t xml:space="preserve"> and </w:t>
      </w:r>
      <w:r w:rsidRPr="00F247CD">
        <w:rPr>
          <w:rStyle w:val="Strong"/>
          <w:rFonts w:asciiTheme="majorBidi" w:hAnsiTheme="majorBidi" w:cstheme="majorBidi"/>
        </w:rPr>
        <w:t>Medicine</w:t>
      </w:r>
      <w:r w:rsidRPr="00F247CD">
        <w:rPr>
          <w:rFonts w:asciiTheme="majorBidi" w:hAnsiTheme="majorBidi" w:cstheme="majorBidi"/>
        </w:rPr>
        <w:t xml:space="preserve"> units, while variability was greatest in the </w:t>
      </w:r>
      <w:r w:rsidRPr="00F247CD">
        <w:rPr>
          <w:rStyle w:val="Strong"/>
          <w:rFonts w:asciiTheme="majorBidi" w:hAnsiTheme="majorBidi" w:cstheme="majorBidi"/>
        </w:rPr>
        <w:t>ICU</w:t>
      </w:r>
      <w:r w:rsidRPr="00F247CD">
        <w:rPr>
          <w:rFonts w:asciiTheme="majorBidi" w:hAnsiTheme="majorBidi" w:cstheme="majorBidi"/>
        </w:rPr>
        <w:t xml:space="preserve"> unit. Wilcoxon test results showed no statistically significant differences in Pre_Score (p = 0.12) or Post_score (p = 0.09) among the hospital units. These findings suggest that knowledge scores were consistent across units, with no significant unit-based differences in the impact of the intervention.</w:t>
      </w:r>
    </w:p>
    <w:p w14:paraId="682C042B" w14:textId="77777777" w:rsidR="00F247CD" w:rsidRPr="00F247CD" w:rsidRDefault="00F247CD" w:rsidP="00F247CD">
      <w:pPr>
        <w:pStyle w:val="NormalWeb"/>
        <w:jc w:val="both"/>
        <w:rPr>
          <w:rFonts w:asciiTheme="majorBidi" w:hAnsiTheme="majorBidi" w:cstheme="majorBidi"/>
        </w:rPr>
      </w:pPr>
      <w:r w:rsidRPr="00F247CD">
        <w:rPr>
          <w:rFonts w:asciiTheme="majorBidi" w:hAnsiTheme="majorBidi" w:cstheme="majorBidi"/>
        </w:rPr>
        <w:t>This study analyzed the knowledge improvement and characteristics of 100 participants based on demographic, educational, and professional factors. Participants were predominantly House Officers (65%) and evenly distributed across gender (53% female, 47% male) and age groups, with 64% aged 20 to 25 years. The sample had varied work experience (47% ≤2 years, 32% 2–3 years, 21% 4–5 years) and represented diverse hospital units, including Emergency Medicine (24%), ICU (28%), Medicine (34%), and Surgery (14%).</w:t>
      </w:r>
    </w:p>
    <w:p w14:paraId="7BA8CB72" w14:textId="77777777" w:rsidR="00F247CD" w:rsidRPr="00F247CD" w:rsidRDefault="00F247CD" w:rsidP="00F247CD">
      <w:pPr>
        <w:pStyle w:val="NormalWeb"/>
        <w:jc w:val="both"/>
        <w:rPr>
          <w:rFonts w:asciiTheme="majorBidi" w:hAnsiTheme="majorBidi" w:cstheme="majorBidi"/>
        </w:rPr>
      </w:pPr>
      <w:r w:rsidRPr="00F247CD">
        <w:rPr>
          <w:rFonts w:asciiTheme="majorBidi" w:hAnsiTheme="majorBidi" w:cstheme="majorBidi"/>
        </w:rPr>
        <w:t xml:space="preserve">The knowledge scores showed a substantial improvement following the training, with the mean pre-training score increasing from </w:t>
      </w:r>
      <w:r w:rsidRPr="00F247CD">
        <w:rPr>
          <w:rStyle w:val="Strong"/>
          <w:rFonts w:asciiTheme="majorBidi" w:eastAsiaTheme="majorEastAsia" w:hAnsiTheme="majorBidi" w:cstheme="majorBidi"/>
        </w:rPr>
        <w:t>52.5 ± 13.8</w:t>
      </w:r>
      <w:r w:rsidRPr="00F247CD">
        <w:rPr>
          <w:rFonts w:asciiTheme="majorBidi" w:hAnsiTheme="majorBidi" w:cstheme="majorBidi"/>
        </w:rPr>
        <w:t xml:space="preserve"> to a post-training score of </w:t>
      </w:r>
      <w:r w:rsidRPr="00F247CD">
        <w:rPr>
          <w:rStyle w:val="Strong"/>
          <w:rFonts w:asciiTheme="majorBidi" w:eastAsiaTheme="majorEastAsia" w:hAnsiTheme="majorBidi" w:cstheme="majorBidi"/>
        </w:rPr>
        <w:t>68.6 ± 17.4</w:t>
      </w:r>
      <w:r w:rsidRPr="00F247CD">
        <w:rPr>
          <w:rFonts w:asciiTheme="majorBidi" w:hAnsiTheme="majorBidi" w:cstheme="majorBidi"/>
        </w:rPr>
        <w:t>, highlighting the intervention's effectiveness. The analysis of scores by demographic and professional variables revealed no statistically significant differences across groups in either pre- or post-training scores. Gender, age, years of work experience, and hospital unit did not significantly influence knowledge scores, suggesting that the training had a consistent impact across all participant subgroups.</w:t>
      </w:r>
    </w:p>
    <w:p w14:paraId="1591CEDA" w14:textId="77777777" w:rsidR="00F247CD" w:rsidRPr="00F247CD" w:rsidRDefault="00F247CD" w:rsidP="00F247CD">
      <w:pPr>
        <w:pStyle w:val="NormalWeb"/>
        <w:jc w:val="both"/>
        <w:rPr>
          <w:rFonts w:asciiTheme="majorBidi" w:hAnsiTheme="majorBidi" w:cstheme="majorBidi"/>
        </w:rPr>
      </w:pPr>
      <w:r w:rsidRPr="00F247CD">
        <w:rPr>
          <w:rFonts w:asciiTheme="majorBidi" w:hAnsiTheme="majorBidi" w:cstheme="majorBidi"/>
        </w:rPr>
        <w:t xml:space="preserve">Overall, the findings demonstrate that the training intervention was effective in improving knowledge levels, irrespective of participants' professional or demographic backgrounds, </w:t>
      </w:r>
      <w:r w:rsidRPr="00F247CD">
        <w:rPr>
          <w:rFonts w:asciiTheme="majorBidi" w:hAnsiTheme="majorBidi" w:cstheme="majorBidi"/>
        </w:rPr>
        <w:lastRenderedPageBreak/>
        <w:t>reflecting its broad applicability and equity. Would you like assistance with turning this into a report or research article section?</w:t>
      </w:r>
    </w:p>
    <w:p w14:paraId="7B58503F" w14:textId="77777777" w:rsidR="00343D64" w:rsidRPr="00F247CD" w:rsidRDefault="00343D64" w:rsidP="00F247CD">
      <w:pPr>
        <w:jc w:val="both"/>
        <w:rPr>
          <w:rFonts w:asciiTheme="majorBidi" w:hAnsiTheme="majorBidi" w:cstheme="majorBidi"/>
        </w:rPr>
      </w:pPr>
    </w:p>
    <w:p w14:paraId="204182A3" w14:textId="77777777" w:rsidR="00343D64" w:rsidRPr="00F247CD" w:rsidRDefault="00343D64" w:rsidP="00F247CD">
      <w:pPr>
        <w:jc w:val="both"/>
        <w:rPr>
          <w:rFonts w:asciiTheme="majorBidi" w:hAnsiTheme="majorBidi" w:cstheme="majorBidi"/>
        </w:rPr>
      </w:pPr>
    </w:p>
    <w:p w14:paraId="43382C49" w14:textId="77777777" w:rsidR="00343D64" w:rsidRPr="00343D64" w:rsidRDefault="00343D64" w:rsidP="00F247CD">
      <w:pPr>
        <w:spacing w:before="100" w:beforeAutospacing="1" w:after="100" w:afterAutospacing="1" w:line="240" w:lineRule="auto"/>
        <w:jc w:val="both"/>
        <w:outlineLvl w:val="2"/>
        <w:rPr>
          <w:rFonts w:asciiTheme="majorBidi" w:eastAsia="Times New Roman" w:hAnsiTheme="majorBidi" w:cstheme="majorBidi"/>
          <w:b/>
          <w:bCs/>
          <w:kern w:val="0"/>
          <w:sz w:val="27"/>
          <w:szCs w:val="27"/>
          <w:lang w:eastAsia="en-GB"/>
          <w14:ligatures w14:val="none"/>
        </w:rPr>
      </w:pPr>
      <w:r w:rsidRPr="00343D64">
        <w:rPr>
          <w:rFonts w:asciiTheme="majorBidi" w:eastAsia="Times New Roman" w:hAnsiTheme="majorBidi" w:cstheme="majorBidi"/>
          <w:b/>
          <w:bCs/>
          <w:kern w:val="0"/>
          <w:sz w:val="27"/>
          <w:szCs w:val="27"/>
          <w:lang w:eastAsia="en-GB"/>
          <w14:ligatures w14:val="none"/>
        </w:rPr>
        <w:t>References</w:t>
      </w:r>
    </w:p>
    <w:p w14:paraId="5D07D4E5"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 Thompson, A., Lee, C., &amp; Patel, R. (2020). Variability in ECG Interpretation: A Study of Healthcare Professionals. </w:t>
      </w:r>
      <w:r w:rsidRPr="00343D64">
        <w:rPr>
          <w:rFonts w:asciiTheme="majorBidi" w:eastAsia="Times New Roman" w:hAnsiTheme="majorBidi" w:cstheme="majorBidi"/>
          <w:i/>
          <w:iCs/>
          <w:kern w:val="0"/>
          <w:lang w:eastAsia="en-GB"/>
          <w14:ligatures w14:val="none"/>
        </w:rPr>
        <w:t>Journal of Cardiology Education</w:t>
      </w:r>
      <w:r w:rsidRPr="00343D64">
        <w:rPr>
          <w:rFonts w:asciiTheme="majorBidi" w:eastAsia="Times New Roman" w:hAnsiTheme="majorBidi" w:cstheme="majorBidi"/>
          <w:kern w:val="0"/>
          <w:lang w:eastAsia="en-GB"/>
          <w14:ligatures w14:val="none"/>
        </w:rPr>
        <w:t>, 15(3), 205-210.</w:t>
      </w:r>
    </w:p>
    <w:p w14:paraId="107F3002"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 Smith, J., &amp; Jones, L. (2021). Enhancing ECG Skills through Structured Training Programs. </w:t>
      </w:r>
      <w:r w:rsidRPr="00343D64">
        <w:rPr>
          <w:rFonts w:asciiTheme="majorBidi" w:eastAsia="Times New Roman" w:hAnsiTheme="majorBidi" w:cstheme="majorBidi"/>
          <w:i/>
          <w:iCs/>
          <w:kern w:val="0"/>
          <w:lang w:eastAsia="en-GB"/>
          <w14:ligatures w14:val="none"/>
        </w:rPr>
        <w:t>International Journal of Medical Education</w:t>
      </w:r>
      <w:r w:rsidRPr="00343D64">
        <w:rPr>
          <w:rFonts w:asciiTheme="majorBidi" w:eastAsia="Times New Roman" w:hAnsiTheme="majorBidi" w:cstheme="majorBidi"/>
          <w:kern w:val="0"/>
          <w:lang w:eastAsia="en-GB"/>
          <w14:ligatures w14:val="none"/>
        </w:rPr>
        <w:t>, 12(2), 145-150.</w:t>
      </w:r>
    </w:p>
    <w:p w14:paraId="7A6175E5"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 Brown, T., Green, M., &amp; White, S. (2022). The Role of ECG Training in Improving Clinical Decision-Making. </w:t>
      </w:r>
      <w:r w:rsidRPr="00343D64">
        <w:rPr>
          <w:rFonts w:asciiTheme="majorBidi" w:eastAsia="Times New Roman" w:hAnsiTheme="majorBidi" w:cstheme="majorBidi"/>
          <w:i/>
          <w:iCs/>
          <w:kern w:val="0"/>
          <w:lang w:eastAsia="en-GB"/>
          <w14:ligatures w14:val="none"/>
        </w:rPr>
        <w:t>Cardiovascular Journal</w:t>
      </w:r>
      <w:r w:rsidRPr="00343D64">
        <w:rPr>
          <w:rFonts w:asciiTheme="majorBidi" w:eastAsia="Times New Roman" w:hAnsiTheme="majorBidi" w:cstheme="majorBidi"/>
          <w:kern w:val="0"/>
          <w:lang w:eastAsia="en-GB"/>
          <w14:ligatures w14:val="none"/>
        </w:rPr>
        <w:t>, 18(1), 75-82.</w:t>
      </w:r>
    </w:p>
    <w:p w14:paraId="07F4C2BD" w14:textId="77777777" w:rsidR="00343D64" w:rsidRPr="00343D64" w:rsidRDefault="00343D64" w:rsidP="00F247CD">
      <w:pPr>
        <w:spacing w:before="100" w:beforeAutospacing="1" w:after="100" w:afterAutospacing="1" w:line="240" w:lineRule="auto"/>
        <w:jc w:val="both"/>
        <w:rPr>
          <w:rFonts w:asciiTheme="majorBidi" w:eastAsia="Times New Roman" w:hAnsiTheme="majorBidi" w:cstheme="majorBidi"/>
          <w:kern w:val="0"/>
          <w:lang w:eastAsia="en-GB"/>
          <w14:ligatures w14:val="none"/>
        </w:rPr>
      </w:pPr>
      <w:r w:rsidRPr="00343D64">
        <w:rPr>
          <w:rFonts w:asciiTheme="majorBidi" w:eastAsia="Times New Roman" w:hAnsiTheme="majorBidi" w:cstheme="majorBidi"/>
          <w:kern w:val="0"/>
          <w:lang w:eastAsia="en-GB"/>
          <w14:ligatures w14:val="none"/>
        </w:rPr>
        <w:t xml:space="preserve">- Wilson, D., Harris, K., &amp; Thompson, R. (2023). Continuous Education in Cardiology: Impact on Patient Outcomes. </w:t>
      </w:r>
      <w:r w:rsidRPr="00343D64">
        <w:rPr>
          <w:rFonts w:asciiTheme="majorBidi" w:eastAsia="Times New Roman" w:hAnsiTheme="majorBidi" w:cstheme="majorBidi"/>
          <w:i/>
          <w:iCs/>
          <w:kern w:val="0"/>
          <w:lang w:eastAsia="en-GB"/>
          <w14:ligatures w14:val="none"/>
        </w:rPr>
        <w:t>Journal of Healthcare Improvement</w:t>
      </w:r>
      <w:r w:rsidRPr="00343D64">
        <w:rPr>
          <w:rFonts w:asciiTheme="majorBidi" w:eastAsia="Times New Roman" w:hAnsiTheme="majorBidi" w:cstheme="majorBidi"/>
          <w:kern w:val="0"/>
          <w:lang w:eastAsia="en-GB"/>
          <w14:ligatures w14:val="none"/>
        </w:rPr>
        <w:t>, 10(4), 300-315.</w:t>
      </w:r>
    </w:p>
    <w:p w14:paraId="02026581" w14:textId="77777777" w:rsidR="00343D64" w:rsidRPr="00F247CD" w:rsidRDefault="00343D64" w:rsidP="00F247CD">
      <w:pPr>
        <w:jc w:val="both"/>
        <w:rPr>
          <w:rFonts w:asciiTheme="majorBidi" w:hAnsiTheme="majorBidi" w:cstheme="majorBidi"/>
        </w:rPr>
      </w:pPr>
    </w:p>
    <w:sectPr w:rsidR="00343D64" w:rsidRPr="00F24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41919246">
    <w:abstractNumId w:val="0"/>
  </w:num>
  <w:num w:numId="2" w16cid:durableId="102195863">
    <w:abstractNumId w:val="1"/>
  </w:num>
  <w:num w:numId="3" w16cid:durableId="1979845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E9"/>
    <w:rsid w:val="000A5892"/>
    <w:rsid w:val="00180760"/>
    <w:rsid w:val="00343D64"/>
    <w:rsid w:val="00405DE6"/>
    <w:rsid w:val="006F1A14"/>
    <w:rsid w:val="008108AB"/>
    <w:rsid w:val="0087207F"/>
    <w:rsid w:val="008C7869"/>
    <w:rsid w:val="00913200"/>
    <w:rsid w:val="00A878B2"/>
    <w:rsid w:val="00B233E9"/>
    <w:rsid w:val="00B87DE8"/>
    <w:rsid w:val="00C366F6"/>
    <w:rsid w:val="00E6176A"/>
    <w:rsid w:val="00F247CD"/>
    <w:rsid w:val="00FF08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B24700B"/>
  <w15:chartTrackingRefBased/>
  <w15:docId w15:val="{D4E6C676-4C9E-C84D-8DD8-8EB33C96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A878B2"/>
    <w:pPr>
      <w:keepNext/>
      <w:keepLines/>
      <w:spacing w:before="40" w:after="0" w:line="360" w:lineRule="auto"/>
      <w:ind w:left="10" w:hanging="10"/>
      <w:outlineLvl w:val="1"/>
    </w:pPr>
    <w:rPr>
      <w:rFonts w:asciiTheme="majorBidi" w:eastAsiaTheme="majorEastAsia" w:hAnsiTheme="majorBidi" w:cstheme="majorBidi"/>
      <w:b/>
      <w:color w:val="000000" w:themeColor="text1"/>
      <w:szCs w:val="26"/>
      <w:lang w:bidi="en-US"/>
    </w:rPr>
  </w:style>
  <w:style w:type="paragraph" w:styleId="Heading3">
    <w:name w:val="heading 3"/>
    <w:basedOn w:val="Normal"/>
    <w:next w:val="Normal"/>
    <w:link w:val="Heading3Char"/>
    <w:uiPriority w:val="9"/>
    <w:unhideWhenUsed/>
    <w:qFormat/>
    <w:rsid w:val="00B23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B2"/>
    <w:rPr>
      <w:rFonts w:asciiTheme="majorBidi" w:eastAsiaTheme="majorEastAsia" w:hAnsiTheme="majorBidi" w:cstheme="majorBidi"/>
      <w:b/>
      <w:color w:val="000000" w:themeColor="text1"/>
      <w:szCs w:val="26"/>
      <w:lang w:bidi="en-US"/>
    </w:rPr>
  </w:style>
  <w:style w:type="paragraph" w:styleId="ListParagraph">
    <w:name w:val="List Paragraph"/>
    <w:aliases w:val="Text Body"/>
    <w:basedOn w:val="Normal"/>
    <w:uiPriority w:val="34"/>
    <w:qFormat/>
    <w:rsid w:val="00405DE6"/>
    <w:pPr>
      <w:spacing w:after="200" w:line="360" w:lineRule="auto"/>
      <w:ind w:left="720"/>
      <w:contextualSpacing/>
    </w:pPr>
    <w:rPr>
      <w:rFonts w:eastAsiaTheme="minorEastAsia" w:cs="Times New Roman"/>
      <w:color w:val="000000" w:themeColor="text1"/>
      <w:kern w:val="0"/>
      <w:szCs w:val="22"/>
      <w:lang w:val="en-US"/>
      <w14:ligatures w14:val="none"/>
    </w:rPr>
  </w:style>
  <w:style w:type="character" w:customStyle="1" w:styleId="Heading1Char">
    <w:name w:val="Heading 1 Char"/>
    <w:basedOn w:val="DefaultParagraphFont"/>
    <w:link w:val="Heading1"/>
    <w:uiPriority w:val="9"/>
    <w:rsid w:val="00B233E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B23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3E9"/>
    <w:rPr>
      <w:rFonts w:eastAsiaTheme="majorEastAsia" w:cstheme="majorBidi"/>
      <w:color w:val="272727" w:themeColor="text1" w:themeTint="D8"/>
    </w:rPr>
  </w:style>
  <w:style w:type="paragraph" w:styleId="Title">
    <w:name w:val="Title"/>
    <w:basedOn w:val="Normal"/>
    <w:next w:val="Normal"/>
    <w:link w:val="TitleChar"/>
    <w:uiPriority w:val="10"/>
    <w:qFormat/>
    <w:rsid w:val="00B23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3E9"/>
    <w:pPr>
      <w:spacing w:before="160"/>
      <w:jc w:val="center"/>
    </w:pPr>
    <w:rPr>
      <w:i/>
      <w:iCs/>
      <w:color w:val="404040" w:themeColor="text1" w:themeTint="BF"/>
    </w:rPr>
  </w:style>
  <w:style w:type="character" w:customStyle="1" w:styleId="QuoteChar">
    <w:name w:val="Quote Char"/>
    <w:basedOn w:val="DefaultParagraphFont"/>
    <w:link w:val="Quote"/>
    <w:uiPriority w:val="29"/>
    <w:rsid w:val="00B233E9"/>
    <w:rPr>
      <w:i/>
      <w:iCs/>
      <w:color w:val="404040" w:themeColor="text1" w:themeTint="BF"/>
    </w:rPr>
  </w:style>
  <w:style w:type="character" w:styleId="IntenseEmphasis">
    <w:name w:val="Intense Emphasis"/>
    <w:basedOn w:val="DefaultParagraphFont"/>
    <w:uiPriority w:val="21"/>
    <w:qFormat/>
    <w:rsid w:val="00B233E9"/>
    <w:rPr>
      <w:i/>
      <w:iCs/>
      <w:color w:val="0F4761" w:themeColor="accent1" w:themeShade="BF"/>
    </w:rPr>
  </w:style>
  <w:style w:type="paragraph" w:styleId="IntenseQuote">
    <w:name w:val="Intense Quote"/>
    <w:basedOn w:val="Normal"/>
    <w:next w:val="Normal"/>
    <w:link w:val="IntenseQuoteChar"/>
    <w:uiPriority w:val="30"/>
    <w:qFormat/>
    <w:rsid w:val="00B23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3E9"/>
    <w:rPr>
      <w:i/>
      <w:iCs/>
      <w:color w:val="0F4761" w:themeColor="accent1" w:themeShade="BF"/>
    </w:rPr>
  </w:style>
  <w:style w:type="character" w:styleId="IntenseReference">
    <w:name w:val="Intense Reference"/>
    <w:basedOn w:val="DefaultParagraphFont"/>
    <w:uiPriority w:val="32"/>
    <w:qFormat/>
    <w:rsid w:val="00B233E9"/>
    <w:rPr>
      <w:b/>
      <w:bCs/>
      <w:smallCaps/>
      <w:color w:val="0F4761" w:themeColor="accent1" w:themeShade="BF"/>
      <w:spacing w:val="5"/>
    </w:rPr>
  </w:style>
  <w:style w:type="character" w:styleId="Strong">
    <w:name w:val="Strong"/>
    <w:basedOn w:val="DefaultParagraphFont"/>
    <w:uiPriority w:val="22"/>
    <w:qFormat/>
    <w:rsid w:val="000A5892"/>
    <w:rPr>
      <w:b/>
      <w:bCs/>
    </w:rPr>
  </w:style>
  <w:style w:type="paragraph" w:styleId="NormalWeb">
    <w:name w:val="Normal (Web)"/>
    <w:basedOn w:val="Normal"/>
    <w:uiPriority w:val="99"/>
    <w:semiHidden/>
    <w:unhideWhenUsed/>
    <w:rsid w:val="00E617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E6176A"/>
    <w:pPr>
      <w:spacing w:after="200" w:line="240" w:lineRule="auto"/>
    </w:pPr>
    <w:rPr>
      <w:i/>
      <w:iCs/>
      <w:color w:val="0E2841" w:themeColor="text2"/>
      <w:sz w:val="18"/>
      <w:szCs w:val="18"/>
    </w:rPr>
  </w:style>
  <w:style w:type="paragraph" w:customStyle="1" w:styleId="m-0">
    <w:name w:val="m-0"/>
    <w:basedOn w:val="Normal"/>
    <w:rsid w:val="00343D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43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9450">
      <w:bodyDiv w:val="1"/>
      <w:marLeft w:val="0"/>
      <w:marRight w:val="0"/>
      <w:marTop w:val="0"/>
      <w:marBottom w:val="0"/>
      <w:divBdr>
        <w:top w:val="none" w:sz="0" w:space="0" w:color="auto"/>
        <w:left w:val="none" w:sz="0" w:space="0" w:color="auto"/>
        <w:bottom w:val="none" w:sz="0" w:space="0" w:color="auto"/>
        <w:right w:val="none" w:sz="0" w:space="0" w:color="auto"/>
      </w:divBdr>
    </w:div>
    <w:div w:id="493227838">
      <w:bodyDiv w:val="1"/>
      <w:marLeft w:val="0"/>
      <w:marRight w:val="0"/>
      <w:marTop w:val="0"/>
      <w:marBottom w:val="0"/>
      <w:divBdr>
        <w:top w:val="none" w:sz="0" w:space="0" w:color="auto"/>
        <w:left w:val="none" w:sz="0" w:space="0" w:color="auto"/>
        <w:bottom w:val="none" w:sz="0" w:space="0" w:color="auto"/>
        <w:right w:val="none" w:sz="0" w:space="0" w:color="auto"/>
      </w:divBdr>
    </w:div>
    <w:div w:id="687368687">
      <w:bodyDiv w:val="1"/>
      <w:marLeft w:val="0"/>
      <w:marRight w:val="0"/>
      <w:marTop w:val="0"/>
      <w:marBottom w:val="0"/>
      <w:divBdr>
        <w:top w:val="none" w:sz="0" w:space="0" w:color="auto"/>
        <w:left w:val="none" w:sz="0" w:space="0" w:color="auto"/>
        <w:bottom w:val="none" w:sz="0" w:space="0" w:color="auto"/>
        <w:right w:val="none" w:sz="0" w:space="0" w:color="auto"/>
      </w:divBdr>
    </w:div>
    <w:div w:id="941843915">
      <w:bodyDiv w:val="1"/>
      <w:marLeft w:val="0"/>
      <w:marRight w:val="0"/>
      <w:marTop w:val="0"/>
      <w:marBottom w:val="0"/>
      <w:divBdr>
        <w:top w:val="none" w:sz="0" w:space="0" w:color="auto"/>
        <w:left w:val="none" w:sz="0" w:space="0" w:color="auto"/>
        <w:bottom w:val="none" w:sz="0" w:space="0" w:color="auto"/>
        <w:right w:val="none" w:sz="0" w:space="0" w:color="auto"/>
      </w:divBdr>
    </w:div>
    <w:div w:id="1253464720">
      <w:bodyDiv w:val="1"/>
      <w:marLeft w:val="0"/>
      <w:marRight w:val="0"/>
      <w:marTop w:val="0"/>
      <w:marBottom w:val="0"/>
      <w:divBdr>
        <w:top w:val="none" w:sz="0" w:space="0" w:color="auto"/>
        <w:left w:val="none" w:sz="0" w:space="0" w:color="auto"/>
        <w:bottom w:val="none" w:sz="0" w:space="0" w:color="auto"/>
        <w:right w:val="none" w:sz="0" w:space="0" w:color="auto"/>
      </w:divBdr>
    </w:div>
    <w:div w:id="17801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FD907-DFF2-8446-BEE8-E5F8EAAE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Hashmi</dc:creator>
  <cp:keywords/>
  <dc:description/>
  <cp:lastModifiedBy>Shagufta Hashmi</cp:lastModifiedBy>
  <cp:revision>1</cp:revision>
  <dcterms:created xsi:type="dcterms:W3CDTF">2024-12-21T12:00:00Z</dcterms:created>
  <dcterms:modified xsi:type="dcterms:W3CDTF">2024-12-21T18:35:00Z</dcterms:modified>
</cp:coreProperties>
</file>