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3CA23C" w14:textId="20BA64F2" w:rsidR="006948BB" w:rsidRPr="00FE71D2" w:rsidRDefault="006948BB" w:rsidP="00FE71D2">
      <w:pPr>
        <w:spacing w:line="480" w:lineRule="auto"/>
        <w:jc w:val="center"/>
        <w:rPr>
          <w:rFonts w:ascii="Times New Roman" w:hAnsi="Times New Roman" w:cs="Times New Roman"/>
          <w:b/>
          <w:bCs/>
        </w:rPr>
      </w:pPr>
      <w:r w:rsidRPr="00FE71D2">
        <w:rPr>
          <w:rFonts w:ascii="Times New Roman" w:hAnsi="Times New Roman" w:cs="Times New Roman"/>
          <w:b/>
          <w:bCs/>
        </w:rPr>
        <w:t>(1)</w:t>
      </w:r>
    </w:p>
    <w:p w14:paraId="2ACD4C3A" w14:textId="77777777" w:rsidR="006948BB" w:rsidRPr="00FE71D2" w:rsidRDefault="006948BB" w:rsidP="00FE71D2">
      <w:pPr>
        <w:spacing w:line="480" w:lineRule="auto"/>
        <w:jc w:val="both"/>
        <w:rPr>
          <w:rFonts w:ascii="Times New Roman" w:hAnsi="Times New Roman" w:cs="Times New Roman"/>
        </w:rPr>
      </w:pPr>
    </w:p>
    <w:p w14:paraId="0D44C84F" w14:textId="77777777" w:rsidR="00365E2A" w:rsidRPr="00365E2A" w:rsidRDefault="00365E2A" w:rsidP="00FE71D2">
      <w:pPr>
        <w:spacing w:line="480" w:lineRule="auto"/>
        <w:jc w:val="both"/>
        <w:rPr>
          <w:rFonts w:ascii="Times New Roman" w:hAnsi="Times New Roman" w:cs="Times New Roman"/>
        </w:rPr>
      </w:pPr>
      <w:r w:rsidRPr="00365E2A">
        <w:rPr>
          <w:rFonts w:ascii="Times New Roman" w:hAnsi="Times New Roman" w:cs="Times New Roman"/>
        </w:rPr>
        <w:t>The World System Theory, created by Immanuel Wallerstein, represents a macro-level analysis of the parameters of the modern world-system, assuming that the planet forms a unification of various economic divisions influenced by the essence of capitalism and resources and power imbalances. According to Kottak, the theory asserts that the globe has three main elements: the center, the border, and the space between them – the semi-periphery.</w:t>
      </w:r>
    </w:p>
    <w:p w14:paraId="62FC3A5F" w14:textId="77777777" w:rsidR="002F6A32" w:rsidRPr="00FE71D2" w:rsidRDefault="002F6A32" w:rsidP="00FE71D2">
      <w:pPr>
        <w:spacing w:line="480" w:lineRule="auto"/>
        <w:jc w:val="both"/>
        <w:rPr>
          <w:rFonts w:ascii="Times New Roman" w:hAnsi="Times New Roman" w:cs="Times New Roman"/>
        </w:rPr>
      </w:pPr>
    </w:p>
    <w:p w14:paraId="71CD0AEE" w14:textId="45ADE0E9" w:rsidR="002F6A32" w:rsidRPr="00FE71D2" w:rsidRDefault="002F6A32" w:rsidP="00FE71D2">
      <w:pPr>
        <w:spacing w:line="480" w:lineRule="auto"/>
        <w:jc w:val="both"/>
        <w:rPr>
          <w:rFonts w:ascii="Times New Roman" w:hAnsi="Times New Roman" w:cs="Times New Roman"/>
        </w:rPr>
      </w:pPr>
      <w:r w:rsidRPr="00FE71D2">
        <w:rPr>
          <w:rFonts w:ascii="Times New Roman" w:hAnsi="Times New Roman" w:cs="Times New Roman"/>
          <w:b/>
          <w:bCs/>
        </w:rPr>
        <w:t>T</w:t>
      </w:r>
      <w:r w:rsidRPr="00FE71D2">
        <w:rPr>
          <w:rFonts w:ascii="Times New Roman" w:hAnsi="Times New Roman" w:cs="Times New Roman"/>
          <w:b/>
          <w:bCs/>
        </w:rPr>
        <w:t>he core</w:t>
      </w:r>
      <w:r w:rsidRPr="00FE71D2">
        <w:rPr>
          <w:rFonts w:ascii="Times New Roman" w:hAnsi="Times New Roman" w:cs="Times New Roman"/>
          <w:b/>
          <w:bCs/>
        </w:rPr>
        <w:t>:</w:t>
      </w:r>
      <w:r w:rsidRPr="00FE71D2">
        <w:rPr>
          <w:rFonts w:ascii="Times New Roman" w:hAnsi="Times New Roman" w:cs="Times New Roman"/>
        </w:rPr>
        <w:t xml:space="preserve"> </w:t>
      </w:r>
      <w:r w:rsidR="00027B05" w:rsidRPr="00FE71D2">
        <w:rPr>
          <w:rFonts w:ascii="Times New Roman" w:hAnsi="Times New Roman" w:cs="Times New Roman"/>
        </w:rPr>
        <w:t>The core nations, which include the industrialized and economically developed countries with advanced technologies and significant economic and political power, dominate the global economy. These countries depend on the nations of the periphery for resources.</w:t>
      </w:r>
    </w:p>
    <w:p w14:paraId="620ACE8F" w14:textId="2FA42D82" w:rsidR="002F6A32" w:rsidRPr="00FE71D2" w:rsidRDefault="002F6A32" w:rsidP="00FE71D2">
      <w:pPr>
        <w:spacing w:line="480" w:lineRule="auto"/>
        <w:jc w:val="both"/>
        <w:rPr>
          <w:rFonts w:ascii="Times New Roman" w:hAnsi="Times New Roman" w:cs="Times New Roman"/>
        </w:rPr>
      </w:pPr>
      <w:r w:rsidRPr="00FE71D2">
        <w:rPr>
          <w:rFonts w:ascii="Times New Roman" w:hAnsi="Times New Roman" w:cs="Times New Roman"/>
          <w:b/>
          <w:bCs/>
        </w:rPr>
        <w:t>T</w:t>
      </w:r>
      <w:r w:rsidRPr="00FE71D2">
        <w:rPr>
          <w:rFonts w:ascii="Times New Roman" w:hAnsi="Times New Roman" w:cs="Times New Roman"/>
          <w:b/>
          <w:bCs/>
        </w:rPr>
        <w:t>he periphery</w:t>
      </w:r>
      <w:r w:rsidRPr="00FE71D2">
        <w:rPr>
          <w:rFonts w:ascii="Times New Roman" w:hAnsi="Times New Roman" w:cs="Times New Roman"/>
          <w:b/>
          <w:bCs/>
        </w:rPr>
        <w:t>:</w:t>
      </w:r>
      <w:r w:rsidRPr="00FE71D2">
        <w:rPr>
          <w:rFonts w:ascii="Times New Roman" w:hAnsi="Times New Roman" w:cs="Times New Roman"/>
        </w:rPr>
        <w:t xml:space="preserve"> </w:t>
      </w:r>
      <w:r w:rsidR="008C665C" w:rsidRPr="00FE71D2">
        <w:rPr>
          <w:rFonts w:ascii="Times New Roman" w:hAnsi="Times New Roman" w:cs="Times New Roman"/>
        </w:rPr>
        <w:t xml:space="preserve">These are the less developed countries which are majorly dependent on the core. these nations mainly export raw materials and labor to the core nations, </w:t>
      </w:r>
      <w:r w:rsidRPr="002F6A32">
        <w:rPr>
          <w:rFonts w:ascii="Times New Roman" w:hAnsi="Times New Roman" w:cs="Times New Roman"/>
        </w:rPr>
        <w:t>resulting in economic dependency and exploitation</w:t>
      </w:r>
      <w:r w:rsidR="00FC3047" w:rsidRPr="00FE71D2">
        <w:rPr>
          <w:rFonts w:ascii="Times New Roman" w:hAnsi="Times New Roman" w:cs="Times New Roman"/>
        </w:rPr>
        <w:t>.</w:t>
      </w:r>
    </w:p>
    <w:p w14:paraId="315DF059" w14:textId="1EE8C777" w:rsidR="002F6A32" w:rsidRPr="00FE71D2" w:rsidRDefault="002F6A32" w:rsidP="00FE71D2">
      <w:pPr>
        <w:spacing w:line="480" w:lineRule="auto"/>
        <w:jc w:val="both"/>
        <w:rPr>
          <w:rFonts w:ascii="Times New Roman" w:hAnsi="Times New Roman" w:cs="Times New Roman"/>
        </w:rPr>
      </w:pPr>
      <w:r w:rsidRPr="00FE71D2">
        <w:rPr>
          <w:rFonts w:ascii="Times New Roman" w:hAnsi="Times New Roman" w:cs="Times New Roman"/>
          <w:b/>
          <w:bCs/>
        </w:rPr>
        <w:t>S</w:t>
      </w:r>
      <w:r w:rsidRPr="00FE71D2">
        <w:rPr>
          <w:rFonts w:ascii="Times New Roman" w:hAnsi="Times New Roman" w:cs="Times New Roman"/>
          <w:b/>
          <w:bCs/>
        </w:rPr>
        <w:t>emi-periphery</w:t>
      </w:r>
      <w:r w:rsidRPr="00FE71D2">
        <w:rPr>
          <w:rFonts w:ascii="Times New Roman" w:hAnsi="Times New Roman" w:cs="Times New Roman"/>
          <w:b/>
          <w:bCs/>
        </w:rPr>
        <w:t>:</w:t>
      </w:r>
      <w:r w:rsidRPr="00FE71D2">
        <w:rPr>
          <w:rFonts w:ascii="Times New Roman" w:hAnsi="Times New Roman" w:cs="Times New Roman"/>
        </w:rPr>
        <w:t xml:space="preserve"> </w:t>
      </w:r>
      <w:r w:rsidR="00027B05" w:rsidRPr="00FE71D2">
        <w:rPr>
          <w:rFonts w:ascii="Times New Roman" w:hAnsi="Times New Roman" w:cs="Times New Roman"/>
        </w:rPr>
        <w:t>The semi</w:t>
      </w:r>
      <w:r w:rsidR="00027B05" w:rsidRPr="00FE71D2">
        <w:rPr>
          <w:rFonts w:ascii="Times New Roman" w:hAnsi="Times New Roman" w:cs="Times New Roman"/>
        </w:rPr>
        <w:t>-</w:t>
      </w:r>
      <w:r w:rsidR="00027B05" w:rsidRPr="00FE71D2">
        <w:rPr>
          <w:rFonts w:ascii="Times New Roman" w:hAnsi="Times New Roman" w:cs="Times New Roman"/>
        </w:rPr>
        <w:t>peripheral countries share the characteristics of both the core and periphery. The countries demarcate the two others</w:t>
      </w:r>
      <w:r w:rsidR="00027B05" w:rsidRPr="00FE71D2">
        <w:rPr>
          <w:rFonts w:ascii="Times New Roman" w:hAnsi="Times New Roman" w:cs="Times New Roman"/>
        </w:rPr>
        <w:t>.</w:t>
      </w:r>
      <w:r w:rsidRPr="002F6A32">
        <w:rPr>
          <w:rFonts w:ascii="Times New Roman" w:hAnsi="Times New Roman" w:cs="Times New Roman"/>
        </w:rPr>
        <w:t xml:space="preserve"> (Kottak, 201</w:t>
      </w:r>
      <w:r w:rsidR="00CB6142" w:rsidRPr="00FE71D2">
        <w:rPr>
          <w:rFonts w:ascii="Times New Roman" w:hAnsi="Times New Roman" w:cs="Times New Roman"/>
        </w:rPr>
        <w:t>8</w:t>
      </w:r>
      <w:r w:rsidRPr="002F6A32">
        <w:rPr>
          <w:rFonts w:ascii="Times New Roman" w:hAnsi="Times New Roman" w:cs="Times New Roman"/>
        </w:rPr>
        <w:t>).</w:t>
      </w:r>
    </w:p>
    <w:p w14:paraId="19A3DFB7" w14:textId="77777777" w:rsidR="006948BB" w:rsidRPr="00FE71D2" w:rsidRDefault="006948BB" w:rsidP="00FE71D2">
      <w:pPr>
        <w:spacing w:line="480" w:lineRule="auto"/>
        <w:jc w:val="both"/>
        <w:rPr>
          <w:rFonts w:ascii="Times New Roman" w:hAnsi="Times New Roman" w:cs="Times New Roman"/>
        </w:rPr>
      </w:pPr>
    </w:p>
    <w:p w14:paraId="5B0D1C27" w14:textId="604D9987" w:rsidR="00FD397A" w:rsidRPr="00FD397A" w:rsidRDefault="00FD397A" w:rsidP="00FE71D2">
      <w:pPr>
        <w:spacing w:line="480" w:lineRule="auto"/>
        <w:jc w:val="both"/>
        <w:rPr>
          <w:rFonts w:ascii="Times New Roman" w:hAnsi="Times New Roman" w:cs="Times New Roman"/>
        </w:rPr>
      </w:pPr>
      <w:r w:rsidRPr="00FD397A">
        <w:rPr>
          <w:rFonts w:ascii="Times New Roman" w:hAnsi="Times New Roman" w:cs="Times New Roman"/>
        </w:rPr>
        <w:t xml:space="preserve">For instance, it is possible to look at Levi Strauss &amp; Co.’s jeans supply chain and outline many of its aspects from the perspective of World System Theory to explain its relation to other countries and the power this company holds. The main areas here are the U.S and Mexico; the former is used to process the fabric and create the design and marketing and distribution strategies while the latter </w:t>
      </w:r>
      <w:r w:rsidRPr="00FD397A">
        <w:rPr>
          <w:rFonts w:ascii="Times New Roman" w:hAnsi="Times New Roman" w:cs="Times New Roman"/>
        </w:rPr>
        <w:lastRenderedPageBreak/>
        <w:t>produces the denim fabric. These two regions are responsible for making economic decisions, designing new forms of technology, and retaining the means of production.</w:t>
      </w:r>
    </w:p>
    <w:p w14:paraId="6F6637BD" w14:textId="77777777" w:rsidR="006948BB" w:rsidRPr="00FE71D2" w:rsidRDefault="006948BB" w:rsidP="00FE71D2">
      <w:pPr>
        <w:spacing w:line="480" w:lineRule="auto"/>
        <w:jc w:val="both"/>
        <w:rPr>
          <w:rFonts w:ascii="Times New Roman" w:hAnsi="Times New Roman" w:cs="Times New Roman"/>
        </w:rPr>
      </w:pPr>
    </w:p>
    <w:p w14:paraId="12685244" w14:textId="72E8D07D" w:rsidR="00FD397A" w:rsidRPr="00FD397A" w:rsidRDefault="00FD397A" w:rsidP="00FE71D2">
      <w:pPr>
        <w:spacing w:line="480" w:lineRule="auto"/>
        <w:jc w:val="both"/>
        <w:rPr>
          <w:rFonts w:ascii="Times New Roman" w:hAnsi="Times New Roman" w:cs="Times New Roman"/>
        </w:rPr>
      </w:pPr>
      <w:r w:rsidRPr="00FD397A">
        <w:rPr>
          <w:rFonts w:ascii="Times New Roman" w:hAnsi="Times New Roman" w:cs="Times New Roman"/>
        </w:rPr>
        <w:t xml:space="preserve">In this context, the periphery regions comprise Bangladesh, Vietnam, Indonesia, and Sri Lanka, among other countries where the jeans are manufactured. According to Kottak, the periphery provides cheap labor and depends on the core for investment, technology, and market accessibility. The periphery is described by economic dependence, resource exploitation, and restricted avenues of economic </w:t>
      </w:r>
      <w:r w:rsidRPr="00FE71D2">
        <w:rPr>
          <w:rFonts w:ascii="Times New Roman" w:hAnsi="Times New Roman" w:cs="Times New Roman"/>
        </w:rPr>
        <w:t>development (Kottak, 2018)</w:t>
      </w:r>
      <w:r w:rsidRPr="00FD397A">
        <w:rPr>
          <w:rFonts w:ascii="Times New Roman" w:hAnsi="Times New Roman" w:cs="Times New Roman"/>
        </w:rPr>
        <w:t>.</w:t>
      </w:r>
    </w:p>
    <w:p w14:paraId="0E5655C8" w14:textId="77777777" w:rsidR="006948BB" w:rsidRPr="00FE71D2" w:rsidRDefault="006948BB" w:rsidP="00FE71D2">
      <w:pPr>
        <w:spacing w:line="480" w:lineRule="auto"/>
        <w:jc w:val="both"/>
        <w:rPr>
          <w:rFonts w:ascii="Times New Roman" w:hAnsi="Times New Roman" w:cs="Times New Roman"/>
        </w:rPr>
      </w:pPr>
    </w:p>
    <w:p w14:paraId="64EBB44A" w14:textId="691CA597" w:rsidR="00FD397A" w:rsidRPr="00FD397A" w:rsidRDefault="00FD397A" w:rsidP="00FE71D2">
      <w:pPr>
        <w:spacing w:line="480" w:lineRule="auto"/>
        <w:jc w:val="both"/>
        <w:rPr>
          <w:rFonts w:ascii="Times New Roman" w:hAnsi="Times New Roman" w:cs="Times New Roman"/>
        </w:rPr>
      </w:pPr>
      <w:r w:rsidRPr="00FE71D2">
        <w:rPr>
          <w:rFonts w:ascii="Times New Roman" w:hAnsi="Times New Roman" w:cs="Times New Roman"/>
        </w:rPr>
        <w:t>The</w:t>
      </w:r>
      <w:r w:rsidRPr="00FD397A">
        <w:rPr>
          <w:rFonts w:ascii="Times New Roman" w:hAnsi="Times New Roman" w:cs="Times New Roman"/>
        </w:rPr>
        <w:t xml:space="preserve"> semi-periphery regions, including Turkey, India, Pakistan, and China, act as intermediaries between the core and the periphery. On the one hand, these countries export organic cotton to the core, on the other hand, they partially engage in manufacturing and processing. I believe the semi-periphery stabilize the world-system because it creates a kind of a cushion between the core and the periphery and offers their own growth and ascension opportunities.</w:t>
      </w:r>
    </w:p>
    <w:p w14:paraId="3A956CA7" w14:textId="77777777" w:rsidR="006948BB" w:rsidRPr="00FE71D2" w:rsidRDefault="006948BB" w:rsidP="00FE71D2">
      <w:pPr>
        <w:spacing w:line="480" w:lineRule="auto"/>
        <w:jc w:val="both"/>
        <w:rPr>
          <w:rFonts w:ascii="Times New Roman" w:hAnsi="Times New Roman" w:cs="Times New Roman"/>
        </w:rPr>
      </w:pPr>
    </w:p>
    <w:p w14:paraId="117605A8" w14:textId="400CD9DF" w:rsidR="006948BB" w:rsidRPr="00FE71D2" w:rsidRDefault="001067BB" w:rsidP="00FE71D2">
      <w:pPr>
        <w:spacing w:line="480" w:lineRule="auto"/>
        <w:jc w:val="both"/>
        <w:rPr>
          <w:rFonts w:ascii="Times New Roman" w:hAnsi="Times New Roman" w:cs="Times New Roman"/>
        </w:rPr>
      </w:pPr>
      <w:r w:rsidRPr="00FE71D2">
        <w:rPr>
          <w:rFonts w:ascii="Times New Roman" w:hAnsi="Times New Roman" w:cs="Times New Roman"/>
        </w:rPr>
        <w:t>The World System Theory posits that core regions can only keep their dominance by extracting cheap labor, resources, and markets from the periphery regions. It is aided by the semi-periphery regions who ensure the continuance of unequal distribution of power and wealth (Kottak, 2018). In terms of Levi Strauss &amp; Co., the company draws on the cheap labor and resources from the periphery and semi-periphery regions</w:t>
      </w:r>
      <w:r w:rsidRPr="00FE71D2">
        <w:rPr>
          <w:rFonts w:ascii="Times New Roman" w:hAnsi="Times New Roman" w:cs="Times New Roman"/>
        </w:rPr>
        <w:t xml:space="preserve">, </w:t>
      </w:r>
      <w:r w:rsidR="006948BB" w:rsidRPr="00FE71D2">
        <w:rPr>
          <w:rFonts w:ascii="Times New Roman" w:hAnsi="Times New Roman" w:cs="Times New Roman"/>
        </w:rPr>
        <w:t>while retaining control over the high-value activities, such as design, branding, and distribution.</w:t>
      </w:r>
    </w:p>
    <w:p w14:paraId="77C3C057" w14:textId="77777777" w:rsidR="006948BB" w:rsidRPr="00FE71D2" w:rsidRDefault="006948BB" w:rsidP="00FE71D2">
      <w:pPr>
        <w:spacing w:line="480" w:lineRule="auto"/>
        <w:jc w:val="both"/>
        <w:rPr>
          <w:rFonts w:ascii="Times New Roman" w:hAnsi="Times New Roman" w:cs="Times New Roman"/>
        </w:rPr>
      </w:pPr>
    </w:p>
    <w:p w14:paraId="3CA64A2A" w14:textId="77777777" w:rsidR="00515C66" w:rsidRPr="00515C66" w:rsidRDefault="00515C66" w:rsidP="00FE71D2">
      <w:pPr>
        <w:spacing w:line="480" w:lineRule="auto"/>
        <w:jc w:val="both"/>
        <w:rPr>
          <w:rFonts w:ascii="Times New Roman" w:hAnsi="Times New Roman" w:cs="Times New Roman"/>
        </w:rPr>
      </w:pPr>
      <w:r w:rsidRPr="00515C66">
        <w:rPr>
          <w:rFonts w:ascii="Times New Roman" w:hAnsi="Times New Roman" w:cs="Times New Roman"/>
        </w:rPr>
        <w:t>The example of this supply chain demonstrates the modern global world-system, in which economic activities are carried out in a number of countries and regions, with each having its own role, depending on its position in the world hierarchy. The movement of raw materials, work, and the products themselves across national borders demonstrates the dependence between states but also the unequal power position and the externalization of the world-system characteristics.</w:t>
      </w:r>
    </w:p>
    <w:p w14:paraId="1CFBCC4C" w14:textId="77777777" w:rsidR="006948BB" w:rsidRPr="00FE71D2" w:rsidRDefault="006948BB" w:rsidP="00FE71D2">
      <w:pPr>
        <w:spacing w:line="480" w:lineRule="auto"/>
        <w:jc w:val="both"/>
        <w:rPr>
          <w:rFonts w:ascii="Times New Roman" w:hAnsi="Times New Roman" w:cs="Times New Roman"/>
        </w:rPr>
      </w:pPr>
    </w:p>
    <w:p w14:paraId="545DF478" w14:textId="77777777" w:rsidR="00515C66" w:rsidRPr="00515C66" w:rsidRDefault="00515C66" w:rsidP="00FE71D2">
      <w:pPr>
        <w:spacing w:line="480" w:lineRule="auto"/>
        <w:jc w:val="both"/>
        <w:rPr>
          <w:rFonts w:ascii="Times New Roman" w:hAnsi="Times New Roman" w:cs="Times New Roman"/>
        </w:rPr>
      </w:pPr>
      <w:r w:rsidRPr="00515C66">
        <w:rPr>
          <w:rFonts w:ascii="Times New Roman" w:hAnsi="Times New Roman" w:cs="Times New Roman"/>
        </w:rPr>
        <w:t>Moreover, the World System Theory posits that core regions preserve their dominance through multiple devices, including technological advantage, governance of international organizations, and capacity to influence international trade regulations. Hence, in the example of Levi Strauss &amp; Co., the core regions represent the area where the corporation is administered, and decisions are made. For this reason, the apparatus engages in determining the working conditions, final costs for consumers, and spatial distribution.</w:t>
      </w:r>
    </w:p>
    <w:p w14:paraId="652A1AE4" w14:textId="77777777" w:rsidR="006948BB" w:rsidRPr="00FE71D2" w:rsidRDefault="006948BB" w:rsidP="00FE71D2">
      <w:pPr>
        <w:spacing w:line="480" w:lineRule="auto"/>
        <w:jc w:val="both"/>
        <w:rPr>
          <w:rFonts w:ascii="Times New Roman" w:hAnsi="Times New Roman" w:cs="Times New Roman"/>
        </w:rPr>
      </w:pPr>
    </w:p>
    <w:p w14:paraId="13A3E4C5" w14:textId="465B9E47" w:rsidR="000D6572" w:rsidRPr="000D6572" w:rsidRDefault="000D6572" w:rsidP="00FE71D2">
      <w:pPr>
        <w:spacing w:line="480" w:lineRule="auto"/>
        <w:jc w:val="both"/>
        <w:rPr>
          <w:rFonts w:ascii="Times New Roman" w:hAnsi="Times New Roman" w:cs="Times New Roman"/>
        </w:rPr>
      </w:pPr>
      <w:r w:rsidRPr="000D6572">
        <w:rPr>
          <w:rFonts w:ascii="Times New Roman" w:hAnsi="Times New Roman" w:cs="Times New Roman"/>
        </w:rPr>
        <w:t>To conclude, the World System Theory is a beneficial approach to understanding the intricate nature of supply chains and how they work in reality. In the case of Levi Strauss &amp; Co., it seems that the chain is interconnected. It is particularly evident in the relationship between certain core and periphery countries, as the latter often sustain the high quality of living enjoyed by the former. Overall, the concept of core-periphery is dynamic and evolving, and it is important for the current and future economics to adopt a global approach.</w:t>
      </w:r>
    </w:p>
    <w:p w14:paraId="60BFB386" w14:textId="77777777" w:rsidR="006948BB" w:rsidRPr="00FE71D2" w:rsidRDefault="006948BB" w:rsidP="00FE71D2">
      <w:pPr>
        <w:spacing w:line="480" w:lineRule="auto"/>
        <w:jc w:val="both"/>
        <w:rPr>
          <w:rFonts w:ascii="Times New Roman" w:hAnsi="Times New Roman" w:cs="Times New Roman"/>
        </w:rPr>
      </w:pPr>
    </w:p>
    <w:p w14:paraId="685FCF95" w14:textId="34EC38FB" w:rsidR="006948BB" w:rsidRPr="00FE71D2" w:rsidRDefault="006948BB" w:rsidP="00FE71D2">
      <w:pPr>
        <w:spacing w:line="480" w:lineRule="auto"/>
        <w:jc w:val="both"/>
        <w:rPr>
          <w:rFonts w:ascii="Times New Roman" w:hAnsi="Times New Roman" w:cs="Times New Roman"/>
          <w:b/>
          <w:bCs/>
        </w:rPr>
      </w:pPr>
      <w:r w:rsidRPr="00FE71D2">
        <w:rPr>
          <w:rFonts w:ascii="Times New Roman" w:hAnsi="Times New Roman" w:cs="Times New Roman"/>
          <w:b/>
          <w:bCs/>
        </w:rPr>
        <w:lastRenderedPageBreak/>
        <w:t>Reference:</w:t>
      </w:r>
    </w:p>
    <w:p w14:paraId="337C6AE0" w14:textId="3EAB8589" w:rsidR="00FD1C29" w:rsidRPr="00FE71D2" w:rsidRDefault="006948BB" w:rsidP="00FE71D2">
      <w:pPr>
        <w:spacing w:line="480" w:lineRule="auto"/>
        <w:jc w:val="both"/>
        <w:rPr>
          <w:rFonts w:ascii="Times New Roman" w:hAnsi="Times New Roman" w:cs="Times New Roman"/>
        </w:rPr>
      </w:pPr>
      <w:r w:rsidRPr="00FE71D2">
        <w:rPr>
          <w:rFonts w:ascii="Times New Roman" w:hAnsi="Times New Roman" w:cs="Times New Roman"/>
        </w:rPr>
        <w:t>Kottak, C. P. (2018). Anthropology: Appreciating human diversity (18th ed.). McGraw-Hill Education.</w:t>
      </w:r>
    </w:p>
    <w:p w14:paraId="1ED6E3C2" w14:textId="77777777" w:rsidR="00B0788B" w:rsidRPr="00FE71D2" w:rsidRDefault="00B0788B" w:rsidP="00FE71D2">
      <w:pPr>
        <w:spacing w:line="480" w:lineRule="auto"/>
        <w:jc w:val="both"/>
        <w:rPr>
          <w:rFonts w:ascii="Times New Roman" w:hAnsi="Times New Roman" w:cs="Times New Roman"/>
        </w:rPr>
      </w:pPr>
    </w:p>
    <w:p w14:paraId="2298148A" w14:textId="575CAC76" w:rsidR="009B7185" w:rsidRPr="00FE71D2" w:rsidRDefault="009B7185" w:rsidP="00FE71D2">
      <w:pPr>
        <w:spacing w:line="480" w:lineRule="auto"/>
        <w:jc w:val="center"/>
        <w:rPr>
          <w:rFonts w:ascii="Times New Roman" w:hAnsi="Times New Roman" w:cs="Times New Roman"/>
          <w:b/>
          <w:bCs/>
        </w:rPr>
      </w:pPr>
      <w:r w:rsidRPr="00FE71D2">
        <w:rPr>
          <w:rFonts w:ascii="Times New Roman" w:hAnsi="Times New Roman" w:cs="Times New Roman"/>
          <w:b/>
          <w:bCs/>
        </w:rPr>
        <w:t>(</w:t>
      </w:r>
      <w:r w:rsidR="003077B1" w:rsidRPr="00FE71D2">
        <w:rPr>
          <w:rFonts w:ascii="Times New Roman" w:hAnsi="Times New Roman" w:cs="Times New Roman"/>
          <w:b/>
          <w:bCs/>
        </w:rPr>
        <w:t>3</w:t>
      </w:r>
      <w:r w:rsidRPr="00FE71D2">
        <w:rPr>
          <w:rFonts w:ascii="Times New Roman" w:hAnsi="Times New Roman" w:cs="Times New Roman"/>
          <w:b/>
          <w:bCs/>
        </w:rPr>
        <w:t>)</w:t>
      </w:r>
    </w:p>
    <w:p w14:paraId="07155CEF" w14:textId="77777777" w:rsidR="00FC3047" w:rsidRPr="00FE71D2" w:rsidRDefault="00FC3047" w:rsidP="00FE71D2">
      <w:pPr>
        <w:spacing w:line="480" w:lineRule="auto"/>
        <w:jc w:val="both"/>
        <w:rPr>
          <w:rFonts w:ascii="Times New Roman" w:hAnsi="Times New Roman" w:cs="Times New Roman"/>
          <w:b/>
          <w:bCs/>
        </w:rPr>
      </w:pPr>
    </w:p>
    <w:p w14:paraId="291A5C0A" w14:textId="77777777" w:rsidR="00746619" w:rsidRPr="00746619" w:rsidRDefault="00746619" w:rsidP="00FE71D2">
      <w:pPr>
        <w:spacing w:line="480" w:lineRule="auto"/>
        <w:jc w:val="both"/>
        <w:rPr>
          <w:rFonts w:ascii="Times New Roman" w:hAnsi="Times New Roman" w:cs="Times New Roman"/>
        </w:rPr>
      </w:pPr>
      <w:r w:rsidRPr="00746619">
        <w:rPr>
          <w:rFonts w:ascii="Times New Roman" w:hAnsi="Times New Roman" w:cs="Times New Roman"/>
        </w:rPr>
        <w:t>The colonial heritage left by the British in the Indian subcontinent and, consequently, present-day Bangladesh has attracted significant attention and debate. The British East India Company commenced by submitting commercial parties but eventually grew into an enormous colonial empire. The history of British colonialism in the Chittagong Hill Tracts of Bangladesh provides a microcosm of the overall colonial picture and strikes with bespoke complexities and contradictions in its interpretation.</w:t>
      </w:r>
    </w:p>
    <w:p w14:paraId="1EB2B76F" w14:textId="77777777" w:rsidR="00B13A56" w:rsidRPr="00FE71D2" w:rsidRDefault="00B13A56" w:rsidP="00FE71D2">
      <w:pPr>
        <w:spacing w:line="480" w:lineRule="auto"/>
        <w:jc w:val="both"/>
        <w:rPr>
          <w:rFonts w:ascii="Times New Roman" w:hAnsi="Times New Roman" w:cs="Times New Roman"/>
        </w:rPr>
      </w:pPr>
    </w:p>
    <w:p w14:paraId="7DCB5687" w14:textId="77777777" w:rsidR="00746619" w:rsidRPr="00746619" w:rsidRDefault="00746619" w:rsidP="00FE71D2">
      <w:pPr>
        <w:spacing w:line="480" w:lineRule="auto"/>
        <w:jc w:val="both"/>
        <w:rPr>
          <w:rFonts w:ascii="Times New Roman" w:hAnsi="Times New Roman" w:cs="Times New Roman"/>
        </w:rPr>
      </w:pPr>
      <w:r w:rsidRPr="00746619">
        <w:rPr>
          <w:rFonts w:ascii="Times New Roman" w:hAnsi="Times New Roman" w:cs="Times New Roman"/>
        </w:rPr>
        <w:t>The British administration’s declaration of helping the indigenous hill peoples—not to mention external invasions, exploitation by dominant Bangali groups, and oppressive tribal chiefs—seemingly sounded noble. However, as Kottak notes, such approaches usually benefitted the colonial power, while the interests of the local populations remained neglected. The British used the technique of “divide and rule,” accentuating the presented divisions among the hill communities and weakening their traditional power centers.</w:t>
      </w:r>
    </w:p>
    <w:p w14:paraId="682DE87B" w14:textId="77777777" w:rsidR="00B13A56" w:rsidRPr="00FE71D2" w:rsidRDefault="00B13A56" w:rsidP="00FE71D2">
      <w:pPr>
        <w:spacing w:line="480" w:lineRule="auto"/>
        <w:jc w:val="both"/>
        <w:rPr>
          <w:rFonts w:ascii="Times New Roman" w:hAnsi="Times New Roman" w:cs="Times New Roman"/>
        </w:rPr>
      </w:pPr>
    </w:p>
    <w:p w14:paraId="364146F1" w14:textId="5FFCD678" w:rsidR="00746619" w:rsidRPr="00746619" w:rsidRDefault="00746619" w:rsidP="00FE71D2">
      <w:pPr>
        <w:spacing w:line="480" w:lineRule="auto"/>
        <w:jc w:val="both"/>
        <w:rPr>
          <w:rFonts w:ascii="Times New Roman" w:hAnsi="Times New Roman" w:cs="Times New Roman"/>
        </w:rPr>
      </w:pPr>
      <w:r w:rsidRPr="00746619">
        <w:rPr>
          <w:rFonts w:ascii="Times New Roman" w:hAnsi="Times New Roman" w:cs="Times New Roman"/>
        </w:rPr>
        <w:lastRenderedPageBreak/>
        <w:t xml:space="preserve">The British also introduced policies that greatly accelerated the marginalization of the hill peoples. The creation of Reserved Forests and denial of access to the customary lands significantly disrupted the subsistence strategies and economies of the indigenous groups </w:t>
      </w:r>
      <w:r w:rsidRPr="00FE71D2">
        <w:rPr>
          <w:rFonts w:ascii="Times New Roman" w:hAnsi="Times New Roman" w:cs="Times New Roman"/>
        </w:rPr>
        <w:t>(Mohsin, 2003</w:t>
      </w:r>
      <w:r w:rsidRPr="00FE71D2">
        <w:rPr>
          <w:rFonts w:ascii="Times New Roman" w:hAnsi="Times New Roman" w:cs="Times New Roman"/>
        </w:rPr>
        <w:t>)</w:t>
      </w:r>
      <w:r w:rsidRPr="00746619">
        <w:rPr>
          <w:rFonts w:ascii="Times New Roman" w:hAnsi="Times New Roman" w:cs="Times New Roman"/>
        </w:rPr>
        <w:t>. Additionally, following the protocols imposed by the British administration, a large number of Bangali settlers moved into the CHT area. This process occurred with direct help by the British who secured the transport of the settlers. This influx of migrant settlers caused the dislocation and disenfranchisement of the hill peoples from their territorial holdings.</w:t>
      </w:r>
    </w:p>
    <w:p w14:paraId="66BFC577" w14:textId="77777777" w:rsidR="00B13A56" w:rsidRPr="00FE71D2" w:rsidRDefault="00B13A56" w:rsidP="00FE71D2">
      <w:pPr>
        <w:spacing w:line="480" w:lineRule="auto"/>
        <w:jc w:val="both"/>
        <w:rPr>
          <w:rFonts w:ascii="Times New Roman" w:hAnsi="Times New Roman" w:cs="Times New Roman"/>
        </w:rPr>
      </w:pPr>
    </w:p>
    <w:p w14:paraId="7FB629ED" w14:textId="77777777" w:rsidR="00746619" w:rsidRPr="00746619" w:rsidRDefault="00746619" w:rsidP="00FE71D2">
      <w:pPr>
        <w:spacing w:line="480" w:lineRule="auto"/>
        <w:jc w:val="both"/>
        <w:rPr>
          <w:rFonts w:ascii="Times New Roman" w:hAnsi="Times New Roman" w:cs="Times New Roman"/>
        </w:rPr>
      </w:pPr>
      <w:r w:rsidRPr="00746619">
        <w:rPr>
          <w:rFonts w:ascii="Times New Roman" w:hAnsi="Times New Roman" w:cs="Times New Roman"/>
        </w:rPr>
        <w:t>The legacy of the colonial policies can also be described as a permanent injury left on the country. As an example, British divide-and-rule principles led to a conflict that still persists in the CHT. Ethnic tensions were frequent throughout history, but the brutal finalization of the process by just arbitrarily setting borders and destroying the identities of these peoples is not justifiable. The indigenous populations have lost their land, and with it, population and economic development opportunities. These organizations became dependent on foreign aid, lost their culture, and became part of the general population.</w:t>
      </w:r>
    </w:p>
    <w:p w14:paraId="41652ADD" w14:textId="77777777" w:rsidR="00B13A56" w:rsidRPr="00FE71D2" w:rsidRDefault="00B13A56" w:rsidP="00FE71D2">
      <w:pPr>
        <w:spacing w:line="480" w:lineRule="auto"/>
        <w:jc w:val="both"/>
        <w:rPr>
          <w:rFonts w:ascii="Times New Roman" w:hAnsi="Times New Roman" w:cs="Times New Roman"/>
        </w:rPr>
      </w:pPr>
    </w:p>
    <w:p w14:paraId="08F8411F" w14:textId="2711AF9D" w:rsidR="00746619" w:rsidRPr="00746619" w:rsidRDefault="00746619" w:rsidP="00FE71D2">
      <w:pPr>
        <w:spacing w:line="480" w:lineRule="auto"/>
        <w:jc w:val="both"/>
        <w:rPr>
          <w:rFonts w:ascii="Times New Roman" w:hAnsi="Times New Roman" w:cs="Times New Roman"/>
        </w:rPr>
      </w:pPr>
      <w:r w:rsidRPr="00746619">
        <w:rPr>
          <w:rFonts w:ascii="Times New Roman" w:hAnsi="Times New Roman" w:cs="Times New Roman"/>
        </w:rPr>
        <w:t xml:space="preserve">Furthermore, the heritage of colonial experience influenced the overall policy and public opinion of various subsequent Bangladeshi governments towards the hill peoples. The newly emerged post-colonial state upheld and intensified many of the contemporary discriminatory actions and decisions of the British period, which further marginalized the indigenous communities. The militarized zone of CHT in the 2000s became a hot spot of land grabbing and forced Bangali majority settlement. These events reactivated the traditional locally overtones of tension and </w:t>
      </w:r>
      <w:r w:rsidRPr="00746619">
        <w:rPr>
          <w:rFonts w:ascii="Times New Roman" w:hAnsi="Times New Roman" w:cs="Times New Roman"/>
        </w:rPr>
        <w:lastRenderedPageBreak/>
        <w:t xml:space="preserve">conflict. The last incident of 2022 saw journalist-raged clashes between the hill people and settler </w:t>
      </w:r>
      <w:r w:rsidRPr="00FE71D2">
        <w:rPr>
          <w:rFonts w:ascii="Times New Roman" w:hAnsi="Times New Roman" w:cs="Times New Roman"/>
        </w:rPr>
        <w:t>Bengalis</w:t>
      </w:r>
      <w:r w:rsidRPr="00746619">
        <w:rPr>
          <w:rFonts w:ascii="Times New Roman" w:hAnsi="Times New Roman" w:cs="Times New Roman"/>
        </w:rPr>
        <w:t xml:space="preserve"> with casualties and displace people. These modern events reveal the historical heritage of the first days of the 19th century of “divide and rule policy” of British times</w:t>
      </w:r>
      <w:r w:rsidRPr="00FE71D2">
        <w:rPr>
          <w:rFonts w:ascii="Times New Roman" w:hAnsi="Times New Roman" w:cs="Times New Roman"/>
        </w:rPr>
        <w:t xml:space="preserve"> </w:t>
      </w:r>
      <w:r w:rsidRPr="00FE71D2">
        <w:rPr>
          <w:rFonts w:ascii="Times New Roman" w:hAnsi="Times New Roman" w:cs="Times New Roman"/>
        </w:rPr>
        <w:t>(Al Jazeera, 2015).</w:t>
      </w:r>
    </w:p>
    <w:p w14:paraId="2BA2F3B2" w14:textId="77777777" w:rsidR="00B13A56" w:rsidRPr="00FE71D2" w:rsidRDefault="00B13A56" w:rsidP="00FE71D2">
      <w:pPr>
        <w:spacing w:line="480" w:lineRule="auto"/>
        <w:jc w:val="both"/>
        <w:rPr>
          <w:rFonts w:ascii="Times New Roman" w:hAnsi="Times New Roman" w:cs="Times New Roman"/>
        </w:rPr>
      </w:pPr>
    </w:p>
    <w:p w14:paraId="256BBFB8" w14:textId="1BD55FDE" w:rsidR="00B13A56" w:rsidRPr="00FE71D2" w:rsidRDefault="00AC4A2C" w:rsidP="00FE71D2">
      <w:pPr>
        <w:spacing w:line="480" w:lineRule="auto"/>
        <w:jc w:val="both"/>
        <w:rPr>
          <w:rFonts w:ascii="Times New Roman" w:hAnsi="Times New Roman" w:cs="Times New Roman"/>
        </w:rPr>
      </w:pPr>
      <w:r w:rsidRPr="00AC4A2C">
        <w:rPr>
          <w:rFonts w:ascii="Times New Roman" w:hAnsi="Times New Roman" w:cs="Times New Roman"/>
        </w:rPr>
        <w:t>One must also be careful to note that the British colonial enterprise was based fundamentally on economic and political considerations – the welfare of the native population was at best second to political interests. In many cases, the policies allegedly designed to protect the hill peoples were little more than a ruse to expand control over and consolidate power in a given region</w:t>
      </w:r>
      <w:r w:rsidRPr="00FE71D2">
        <w:rPr>
          <w:rFonts w:ascii="Times New Roman" w:hAnsi="Times New Roman" w:cs="Times New Roman"/>
        </w:rPr>
        <w:t xml:space="preserve"> </w:t>
      </w:r>
      <w:r w:rsidR="00B13A56" w:rsidRPr="00FE71D2">
        <w:rPr>
          <w:rFonts w:ascii="Times New Roman" w:hAnsi="Times New Roman" w:cs="Times New Roman"/>
        </w:rPr>
        <w:t>(Mohsin, 2003).</w:t>
      </w:r>
    </w:p>
    <w:p w14:paraId="31A6B755" w14:textId="77777777" w:rsidR="00B13A56" w:rsidRPr="00FE71D2" w:rsidRDefault="00B13A56" w:rsidP="00FE71D2">
      <w:pPr>
        <w:spacing w:line="480" w:lineRule="auto"/>
        <w:jc w:val="both"/>
        <w:rPr>
          <w:rFonts w:ascii="Times New Roman" w:hAnsi="Times New Roman" w:cs="Times New Roman"/>
        </w:rPr>
      </w:pPr>
    </w:p>
    <w:p w14:paraId="4E6AAE1B" w14:textId="701D6EE4" w:rsidR="00AC4A2C" w:rsidRPr="00AC4A2C" w:rsidRDefault="00AC4A2C" w:rsidP="00FE71D2">
      <w:pPr>
        <w:spacing w:line="480" w:lineRule="auto"/>
        <w:jc w:val="both"/>
        <w:rPr>
          <w:rFonts w:ascii="Times New Roman" w:hAnsi="Times New Roman" w:cs="Times New Roman"/>
        </w:rPr>
      </w:pPr>
      <w:r w:rsidRPr="00AC4A2C">
        <w:rPr>
          <w:rFonts w:ascii="Times New Roman" w:hAnsi="Times New Roman" w:cs="Times New Roman"/>
        </w:rPr>
        <w:t xml:space="preserve">To conclude, the case of the Chittagong Hill Tracks is a perfect example of the ambiguity and inconsistency of British decolonization policy in Bangladesh. Although the motives and the idea of preserving the </w:t>
      </w:r>
      <w:r w:rsidRPr="00FE71D2">
        <w:rPr>
          <w:rFonts w:ascii="Times New Roman" w:hAnsi="Times New Roman" w:cs="Times New Roman"/>
        </w:rPr>
        <w:t>indigenous</w:t>
      </w:r>
      <w:r w:rsidRPr="00AC4A2C">
        <w:rPr>
          <w:rFonts w:ascii="Times New Roman" w:hAnsi="Times New Roman" w:cs="Times New Roman"/>
        </w:rPr>
        <w:t xml:space="preserve"> communities might have seemed noble, the true purpose and the way these policies were performed ensured further deprivation and alienation of the hill people. Even nowadays, the impact of the British colonialism is seen in the ethnic clashes and the enduring plight of the </w:t>
      </w:r>
      <w:r w:rsidRPr="00FE71D2">
        <w:rPr>
          <w:rFonts w:ascii="Times New Roman" w:hAnsi="Times New Roman" w:cs="Times New Roman"/>
        </w:rPr>
        <w:t>indigenous</w:t>
      </w:r>
      <w:r w:rsidRPr="00AC4A2C">
        <w:rPr>
          <w:rFonts w:ascii="Times New Roman" w:hAnsi="Times New Roman" w:cs="Times New Roman"/>
        </w:rPr>
        <w:t xml:space="preserve"> people in the present-day Bangladesh</w:t>
      </w:r>
      <w:r w:rsidRPr="00FE71D2">
        <w:rPr>
          <w:rFonts w:ascii="Times New Roman" w:hAnsi="Times New Roman" w:cs="Times New Roman"/>
        </w:rPr>
        <w:t xml:space="preserve"> </w:t>
      </w:r>
      <w:r w:rsidRPr="00FE71D2">
        <w:rPr>
          <w:rFonts w:ascii="Times New Roman" w:hAnsi="Times New Roman" w:cs="Times New Roman"/>
        </w:rPr>
        <w:t>(Mohsin, 2003)</w:t>
      </w:r>
      <w:r w:rsidRPr="00AC4A2C">
        <w:rPr>
          <w:rFonts w:ascii="Times New Roman" w:hAnsi="Times New Roman" w:cs="Times New Roman"/>
        </w:rPr>
        <w:t xml:space="preserve">. The persistent approach of the Bangladeshi government should encompass the reduction of persisting colonial legacy through implementing all-embracing policies, granting land rights and recognizing the </w:t>
      </w:r>
      <w:r w:rsidRPr="00FE71D2">
        <w:rPr>
          <w:rFonts w:ascii="Times New Roman" w:hAnsi="Times New Roman" w:cs="Times New Roman"/>
        </w:rPr>
        <w:t>indigenous</w:t>
      </w:r>
      <w:r w:rsidRPr="00AC4A2C">
        <w:rPr>
          <w:rFonts w:ascii="Times New Roman" w:hAnsi="Times New Roman" w:cs="Times New Roman"/>
        </w:rPr>
        <w:t xml:space="preserve"> population.</w:t>
      </w:r>
    </w:p>
    <w:p w14:paraId="584E61CF" w14:textId="77777777" w:rsidR="00B13A56" w:rsidRPr="00FE71D2" w:rsidRDefault="00B13A56" w:rsidP="00FE71D2">
      <w:pPr>
        <w:spacing w:line="480" w:lineRule="auto"/>
        <w:jc w:val="both"/>
        <w:rPr>
          <w:rFonts w:ascii="Times New Roman" w:hAnsi="Times New Roman" w:cs="Times New Roman"/>
        </w:rPr>
      </w:pPr>
    </w:p>
    <w:p w14:paraId="520B301E" w14:textId="77777777" w:rsidR="00B13A56" w:rsidRPr="00FE71D2" w:rsidRDefault="00B13A56" w:rsidP="00FE71D2">
      <w:pPr>
        <w:spacing w:line="480" w:lineRule="auto"/>
        <w:jc w:val="both"/>
        <w:rPr>
          <w:rFonts w:ascii="Times New Roman" w:hAnsi="Times New Roman" w:cs="Times New Roman"/>
          <w:b/>
          <w:bCs/>
        </w:rPr>
      </w:pPr>
      <w:r w:rsidRPr="00FE71D2">
        <w:rPr>
          <w:rFonts w:ascii="Times New Roman" w:hAnsi="Times New Roman" w:cs="Times New Roman"/>
          <w:b/>
          <w:bCs/>
        </w:rPr>
        <w:t>References:</w:t>
      </w:r>
    </w:p>
    <w:p w14:paraId="1241DAA6" w14:textId="77777777" w:rsidR="00B13A56" w:rsidRPr="00FE71D2" w:rsidRDefault="00B13A56" w:rsidP="00FE71D2">
      <w:pPr>
        <w:spacing w:line="480" w:lineRule="auto"/>
        <w:jc w:val="both"/>
        <w:rPr>
          <w:rFonts w:ascii="Times New Roman" w:hAnsi="Times New Roman" w:cs="Times New Roman"/>
        </w:rPr>
      </w:pPr>
    </w:p>
    <w:p w14:paraId="036DCD6D" w14:textId="77777777" w:rsidR="00B13A56" w:rsidRPr="00FE71D2" w:rsidRDefault="00B13A56" w:rsidP="00FE71D2">
      <w:pPr>
        <w:spacing w:line="480" w:lineRule="auto"/>
        <w:jc w:val="both"/>
        <w:rPr>
          <w:rFonts w:ascii="Times New Roman" w:hAnsi="Times New Roman" w:cs="Times New Roman"/>
        </w:rPr>
      </w:pPr>
      <w:r w:rsidRPr="00FE71D2">
        <w:rPr>
          <w:rFonts w:ascii="Times New Roman" w:hAnsi="Times New Roman" w:cs="Times New Roman"/>
        </w:rPr>
        <w:t>Kottak, C. P. (2015). Anthropology: Appreciating human diversity (16th ed.). McGraw-Hill Education.</w:t>
      </w:r>
    </w:p>
    <w:p w14:paraId="266E8E24" w14:textId="77777777" w:rsidR="00B13A56" w:rsidRPr="00FE71D2" w:rsidRDefault="00B13A56" w:rsidP="00FE71D2">
      <w:pPr>
        <w:spacing w:line="480" w:lineRule="auto"/>
        <w:jc w:val="both"/>
        <w:rPr>
          <w:rFonts w:ascii="Times New Roman" w:hAnsi="Times New Roman" w:cs="Times New Roman"/>
        </w:rPr>
      </w:pPr>
    </w:p>
    <w:p w14:paraId="7A4FAFC0" w14:textId="77777777" w:rsidR="00B13A56" w:rsidRPr="00FE71D2" w:rsidRDefault="00B13A56" w:rsidP="00FE71D2">
      <w:pPr>
        <w:spacing w:line="480" w:lineRule="auto"/>
        <w:jc w:val="both"/>
        <w:rPr>
          <w:rFonts w:ascii="Times New Roman" w:hAnsi="Times New Roman" w:cs="Times New Roman"/>
        </w:rPr>
      </w:pPr>
      <w:r w:rsidRPr="00FE71D2">
        <w:rPr>
          <w:rFonts w:ascii="Times New Roman" w:hAnsi="Times New Roman" w:cs="Times New Roman"/>
        </w:rPr>
        <w:t>Mohsin, A. (2003). The Chittagong Hill Tracts, Bangladesh: On the difficult road to peace. International Centre for Ethnic Studies.</w:t>
      </w:r>
    </w:p>
    <w:p w14:paraId="6CB8719E" w14:textId="77777777" w:rsidR="00B0788B" w:rsidRPr="00FE71D2" w:rsidRDefault="00B0788B" w:rsidP="00FE71D2">
      <w:pPr>
        <w:spacing w:line="480" w:lineRule="auto"/>
        <w:jc w:val="both"/>
        <w:rPr>
          <w:rFonts w:ascii="Times New Roman" w:hAnsi="Times New Roman" w:cs="Times New Roman"/>
        </w:rPr>
      </w:pPr>
    </w:p>
    <w:p w14:paraId="3D7FB901" w14:textId="343413EB" w:rsidR="00B0788B" w:rsidRPr="00FE71D2" w:rsidRDefault="00B0788B" w:rsidP="00FE71D2">
      <w:pPr>
        <w:spacing w:line="480" w:lineRule="auto"/>
        <w:jc w:val="both"/>
        <w:rPr>
          <w:rFonts w:ascii="Times New Roman" w:hAnsi="Times New Roman" w:cs="Times New Roman"/>
          <w:b/>
          <w:bCs/>
        </w:rPr>
      </w:pPr>
      <w:r w:rsidRPr="00FE71D2">
        <w:rPr>
          <w:rFonts w:ascii="Times New Roman" w:hAnsi="Times New Roman" w:cs="Times New Roman"/>
        </w:rPr>
        <w:t>Al Jazeera. (20</w:t>
      </w:r>
      <w:r w:rsidRPr="00FE71D2">
        <w:rPr>
          <w:rFonts w:ascii="Times New Roman" w:hAnsi="Times New Roman" w:cs="Times New Roman"/>
        </w:rPr>
        <w:t>15</w:t>
      </w:r>
      <w:r w:rsidRPr="00FE71D2">
        <w:rPr>
          <w:rFonts w:ascii="Times New Roman" w:hAnsi="Times New Roman" w:cs="Times New Roman"/>
        </w:rPr>
        <w:t xml:space="preserve">, </w:t>
      </w:r>
      <w:r w:rsidRPr="00FE71D2">
        <w:rPr>
          <w:rFonts w:ascii="Times New Roman" w:hAnsi="Times New Roman" w:cs="Times New Roman"/>
        </w:rPr>
        <w:t>June</w:t>
      </w:r>
      <w:r w:rsidRPr="00FE71D2">
        <w:rPr>
          <w:rFonts w:ascii="Times New Roman" w:hAnsi="Times New Roman" w:cs="Times New Roman"/>
        </w:rPr>
        <w:t xml:space="preserve"> </w:t>
      </w:r>
      <w:r w:rsidRPr="00FE71D2">
        <w:rPr>
          <w:rFonts w:ascii="Times New Roman" w:hAnsi="Times New Roman" w:cs="Times New Roman"/>
        </w:rPr>
        <w:t>24</w:t>
      </w:r>
      <w:r w:rsidRPr="00FE71D2">
        <w:rPr>
          <w:rFonts w:ascii="Times New Roman" w:hAnsi="Times New Roman" w:cs="Times New Roman"/>
        </w:rPr>
        <w:t xml:space="preserve">). Bangladesh indigenous ban ‘worse than apartheid. </w:t>
      </w:r>
      <w:hyperlink r:id="rId4" w:history="1">
        <w:r w:rsidRPr="00FE71D2">
          <w:rPr>
            <w:rStyle w:val="Hyperlink"/>
            <w:rFonts w:ascii="Times New Roman" w:hAnsi="Times New Roman" w:cs="Times New Roman"/>
          </w:rPr>
          <w:t>https://www.aljazeera.com/features/2015/6/24/bangladesh-indigenous-ban-worse-than-apa</w:t>
        </w:r>
        <w:r w:rsidRPr="00FE71D2">
          <w:rPr>
            <w:rStyle w:val="Hyperlink"/>
            <w:rFonts w:ascii="Times New Roman" w:hAnsi="Times New Roman" w:cs="Times New Roman"/>
          </w:rPr>
          <w:t>r</w:t>
        </w:r>
        <w:r w:rsidRPr="00FE71D2">
          <w:rPr>
            <w:rStyle w:val="Hyperlink"/>
            <w:rFonts w:ascii="Times New Roman" w:hAnsi="Times New Roman" w:cs="Times New Roman"/>
          </w:rPr>
          <w:t>theid</w:t>
        </w:r>
      </w:hyperlink>
    </w:p>
    <w:p w14:paraId="6A8D6CB5" w14:textId="77777777" w:rsidR="00B0788B" w:rsidRPr="00FE71D2" w:rsidRDefault="00B0788B" w:rsidP="00FE71D2">
      <w:pPr>
        <w:spacing w:line="480" w:lineRule="auto"/>
        <w:jc w:val="both"/>
        <w:rPr>
          <w:rFonts w:ascii="Times New Roman" w:hAnsi="Times New Roman" w:cs="Times New Roman"/>
        </w:rPr>
      </w:pPr>
    </w:p>
    <w:p w14:paraId="7C623C99" w14:textId="50CEDCB4" w:rsidR="00DB1AF7" w:rsidRPr="00FE71D2" w:rsidRDefault="00DB1AF7" w:rsidP="00FE71D2">
      <w:pPr>
        <w:spacing w:line="480" w:lineRule="auto"/>
        <w:jc w:val="both"/>
        <w:rPr>
          <w:rFonts w:ascii="Times New Roman" w:hAnsi="Times New Roman" w:cs="Times New Roman"/>
        </w:rPr>
      </w:pPr>
    </w:p>
    <w:sectPr w:rsidR="00DB1AF7" w:rsidRPr="00FE71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C72"/>
    <w:rsid w:val="00027B05"/>
    <w:rsid w:val="000D6572"/>
    <w:rsid w:val="001067BB"/>
    <w:rsid w:val="00217AF1"/>
    <w:rsid w:val="002F6A32"/>
    <w:rsid w:val="003077B1"/>
    <w:rsid w:val="00365E2A"/>
    <w:rsid w:val="003A7767"/>
    <w:rsid w:val="003C67A3"/>
    <w:rsid w:val="003F5F5D"/>
    <w:rsid w:val="0041178C"/>
    <w:rsid w:val="00515C66"/>
    <w:rsid w:val="005A3146"/>
    <w:rsid w:val="006948BB"/>
    <w:rsid w:val="00746619"/>
    <w:rsid w:val="007642F8"/>
    <w:rsid w:val="00800956"/>
    <w:rsid w:val="008C665C"/>
    <w:rsid w:val="00940B33"/>
    <w:rsid w:val="00980BC4"/>
    <w:rsid w:val="009B7185"/>
    <w:rsid w:val="009E76B5"/>
    <w:rsid w:val="00AC4A2C"/>
    <w:rsid w:val="00B0788B"/>
    <w:rsid w:val="00B13A56"/>
    <w:rsid w:val="00B934B0"/>
    <w:rsid w:val="00BD6AF5"/>
    <w:rsid w:val="00C63402"/>
    <w:rsid w:val="00CB6142"/>
    <w:rsid w:val="00CD6C72"/>
    <w:rsid w:val="00DB1AF7"/>
    <w:rsid w:val="00FC3047"/>
    <w:rsid w:val="00FD1C29"/>
    <w:rsid w:val="00FD397A"/>
    <w:rsid w:val="00FE7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9A716"/>
  <w15:chartTrackingRefBased/>
  <w15:docId w15:val="{5B0CE44D-2BE2-46AC-883A-7C5565E3C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C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6C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6C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C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C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C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C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C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C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C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6C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6C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C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C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C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C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C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C72"/>
    <w:rPr>
      <w:rFonts w:eastAsiaTheme="majorEastAsia" w:cstheme="majorBidi"/>
      <w:color w:val="272727" w:themeColor="text1" w:themeTint="D8"/>
    </w:rPr>
  </w:style>
  <w:style w:type="paragraph" w:styleId="Title">
    <w:name w:val="Title"/>
    <w:basedOn w:val="Normal"/>
    <w:next w:val="Normal"/>
    <w:link w:val="TitleChar"/>
    <w:uiPriority w:val="10"/>
    <w:qFormat/>
    <w:rsid w:val="00CD6C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C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C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C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C72"/>
    <w:pPr>
      <w:spacing w:before="160"/>
      <w:jc w:val="center"/>
    </w:pPr>
    <w:rPr>
      <w:i/>
      <w:iCs/>
      <w:color w:val="404040" w:themeColor="text1" w:themeTint="BF"/>
    </w:rPr>
  </w:style>
  <w:style w:type="character" w:customStyle="1" w:styleId="QuoteChar">
    <w:name w:val="Quote Char"/>
    <w:basedOn w:val="DefaultParagraphFont"/>
    <w:link w:val="Quote"/>
    <w:uiPriority w:val="29"/>
    <w:rsid w:val="00CD6C72"/>
    <w:rPr>
      <w:i/>
      <w:iCs/>
      <w:color w:val="404040" w:themeColor="text1" w:themeTint="BF"/>
    </w:rPr>
  </w:style>
  <w:style w:type="paragraph" w:styleId="ListParagraph">
    <w:name w:val="List Paragraph"/>
    <w:basedOn w:val="Normal"/>
    <w:uiPriority w:val="34"/>
    <w:qFormat/>
    <w:rsid w:val="00CD6C72"/>
    <w:pPr>
      <w:ind w:left="720"/>
      <w:contextualSpacing/>
    </w:pPr>
  </w:style>
  <w:style w:type="character" w:styleId="IntenseEmphasis">
    <w:name w:val="Intense Emphasis"/>
    <w:basedOn w:val="DefaultParagraphFont"/>
    <w:uiPriority w:val="21"/>
    <w:qFormat/>
    <w:rsid w:val="00CD6C72"/>
    <w:rPr>
      <w:i/>
      <w:iCs/>
      <w:color w:val="0F4761" w:themeColor="accent1" w:themeShade="BF"/>
    </w:rPr>
  </w:style>
  <w:style w:type="paragraph" w:styleId="IntenseQuote">
    <w:name w:val="Intense Quote"/>
    <w:basedOn w:val="Normal"/>
    <w:next w:val="Normal"/>
    <w:link w:val="IntenseQuoteChar"/>
    <w:uiPriority w:val="30"/>
    <w:qFormat/>
    <w:rsid w:val="00CD6C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C72"/>
    <w:rPr>
      <w:i/>
      <w:iCs/>
      <w:color w:val="0F4761" w:themeColor="accent1" w:themeShade="BF"/>
    </w:rPr>
  </w:style>
  <w:style w:type="character" w:styleId="IntenseReference">
    <w:name w:val="Intense Reference"/>
    <w:basedOn w:val="DefaultParagraphFont"/>
    <w:uiPriority w:val="32"/>
    <w:qFormat/>
    <w:rsid w:val="00CD6C72"/>
    <w:rPr>
      <w:b/>
      <w:bCs/>
      <w:smallCaps/>
      <w:color w:val="0F4761" w:themeColor="accent1" w:themeShade="BF"/>
      <w:spacing w:val="5"/>
    </w:rPr>
  </w:style>
  <w:style w:type="paragraph" w:styleId="NormalWeb">
    <w:name w:val="Normal (Web)"/>
    <w:basedOn w:val="Normal"/>
    <w:uiPriority w:val="99"/>
    <w:semiHidden/>
    <w:unhideWhenUsed/>
    <w:rsid w:val="00027B05"/>
    <w:rPr>
      <w:rFonts w:ascii="Times New Roman" w:hAnsi="Times New Roman" w:cs="Times New Roman"/>
    </w:rPr>
  </w:style>
  <w:style w:type="character" w:styleId="Hyperlink">
    <w:name w:val="Hyperlink"/>
    <w:basedOn w:val="DefaultParagraphFont"/>
    <w:uiPriority w:val="99"/>
    <w:unhideWhenUsed/>
    <w:rsid w:val="00B0788B"/>
    <w:rPr>
      <w:color w:val="467886" w:themeColor="hyperlink"/>
      <w:u w:val="single"/>
    </w:rPr>
  </w:style>
  <w:style w:type="character" w:styleId="UnresolvedMention">
    <w:name w:val="Unresolved Mention"/>
    <w:basedOn w:val="DefaultParagraphFont"/>
    <w:uiPriority w:val="99"/>
    <w:semiHidden/>
    <w:unhideWhenUsed/>
    <w:rsid w:val="00B0788B"/>
    <w:rPr>
      <w:color w:val="605E5C"/>
      <w:shd w:val="clear" w:color="auto" w:fill="E1DFDD"/>
    </w:rPr>
  </w:style>
  <w:style w:type="character" w:styleId="FollowedHyperlink">
    <w:name w:val="FollowedHyperlink"/>
    <w:basedOn w:val="DefaultParagraphFont"/>
    <w:uiPriority w:val="99"/>
    <w:semiHidden/>
    <w:unhideWhenUsed/>
    <w:rsid w:val="00B0788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877785">
      <w:bodyDiv w:val="1"/>
      <w:marLeft w:val="0"/>
      <w:marRight w:val="0"/>
      <w:marTop w:val="0"/>
      <w:marBottom w:val="0"/>
      <w:divBdr>
        <w:top w:val="none" w:sz="0" w:space="0" w:color="auto"/>
        <w:left w:val="none" w:sz="0" w:space="0" w:color="auto"/>
        <w:bottom w:val="none" w:sz="0" w:space="0" w:color="auto"/>
        <w:right w:val="none" w:sz="0" w:space="0" w:color="auto"/>
      </w:divBdr>
    </w:div>
    <w:div w:id="102502835">
      <w:bodyDiv w:val="1"/>
      <w:marLeft w:val="0"/>
      <w:marRight w:val="0"/>
      <w:marTop w:val="0"/>
      <w:marBottom w:val="0"/>
      <w:divBdr>
        <w:top w:val="none" w:sz="0" w:space="0" w:color="auto"/>
        <w:left w:val="none" w:sz="0" w:space="0" w:color="auto"/>
        <w:bottom w:val="none" w:sz="0" w:space="0" w:color="auto"/>
        <w:right w:val="none" w:sz="0" w:space="0" w:color="auto"/>
      </w:divBdr>
    </w:div>
    <w:div w:id="134109523">
      <w:bodyDiv w:val="1"/>
      <w:marLeft w:val="0"/>
      <w:marRight w:val="0"/>
      <w:marTop w:val="0"/>
      <w:marBottom w:val="0"/>
      <w:divBdr>
        <w:top w:val="none" w:sz="0" w:space="0" w:color="auto"/>
        <w:left w:val="none" w:sz="0" w:space="0" w:color="auto"/>
        <w:bottom w:val="none" w:sz="0" w:space="0" w:color="auto"/>
        <w:right w:val="none" w:sz="0" w:space="0" w:color="auto"/>
      </w:divBdr>
    </w:div>
    <w:div w:id="185750725">
      <w:bodyDiv w:val="1"/>
      <w:marLeft w:val="0"/>
      <w:marRight w:val="0"/>
      <w:marTop w:val="0"/>
      <w:marBottom w:val="0"/>
      <w:divBdr>
        <w:top w:val="none" w:sz="0" w:space="0" w:color="auto"/>
        <w:left w:val="none" w:sz="0" w:space="0" w:color="auto"/>
        <w:bottom w:val="none" w:sz="0" w:space="0" w:color="auto"/>
        <w:right w:val="none" w:sz="0" w:space="0" w:color="auto"/>
      </w:divBdr>
    </w:div>
    <w:div w:id="187067514">
      <w:bodyDiv w:val="1"/>
      <w:marLeft w:val="0"/>
      <w:marRight w:val="0"/>
      <w:marTop w:val="0"/>
      <w:marBottom w:val="0"/>
      <w:divBdr>
        <w:top w:val="none" w:sz="0" w:space="0" w:color="auto"/>
        <w:left w:val="none" w:sz="0" w:space="0" w:color="auto"/>
        <w:bottom w:val="none" w:sz="0" w:space="0" w:color="auto"/>
        <w:right w:val="none" w:sz="0" w:space="0" w:color="auto"/>
      </w:divBdr>
    </w:div>
    <w:div w:id="441728814">
      <w:bodyDiv w:val="1"/>
      <w:marLeft w:val="0"/>
      <w:marRight w:val="0"/>
      <w:marTop w:val="0"/>
      <w:marBottom w:val="0"/>
      <w:divBdr>
        <w:top w:val="none" w:sz="0" w:space="0" w:color="auto"/>
        <w:left w:val="none" w:sz="0" w:space="0" w:color="auto"/>
        <w:bottom w:val="none" w:sz="0" w:space="0" w:color="auto"/>
        <w:right w:val="none" w:sz="0" w:space="0" w:color="auto"/>
      </w:divBdr>
    </w:div>
    <w:div w:id="692268332">
      <w:bodyDiv w:val="1"/>
      <w:marLeft w:val="0"/>
      <w:marRight w:val="0"/>
      <w:marTop w:val="0"/>
      <w:marBottom w:val="0"/>
      <w:divBdr>
        <w:top w:val="none" w:sz="0" w:space="0" w:color="auto"/>
        <w:left w:val="none" w:sz="0" w:space="0" w:color="auto"/>
        <w:bottom w:val="none" w:sz="0" w:space="0" w:color="auto"/>
        <w:right w:val="none" w:sz="0" w:space="0" w:color="auto"/>
      </w:divBdr>
    </w:div>
    <w:div w:id="841317696">
      <w:bodyDiv w:val="1"/>
      <w:marLeft w:val="0"/>
      <w:marRight w:val="0"/>
      <w:marTop w:val="0"/>
      <w:marBottom w:val="0"/>
      <w:divBdr>
        <w:top w:val="none" w:sz="0" w:space="0" w:color="auto"/>
        <w:left w:val="none" w:sz="0" w:space="0" w:color="auto"/>
        <w:bottom w:val="none" w:sz="0" w:space="0" w:color="auto"/>
        <w:right w:val="none" w:sz="0" w:space="0" w:color="auto"/>
      </w:divBdr>
    </w:div>
    <w:div w:id="847407451">
      <w:bodyDiv w:val="1"/>
      <w:marLeft w:val="0"/>
      <w:marRight w:val="0"/>
      <w:marTop w:val="0"/>
      <w:marBottom w:val="0"/>
      <w:divBdr>
        <w:top w:val="none" w:sz="0" w:space="0" w:color="auto"/>
        <w:left w:val="none" w:sz="0" w:space="0" w:color="auto"/>
        <w:bottom w:val="none" w:sz="0" w:space="0" w:color="auto"/>
        <w:right w:val="none" w:sz="0" w:space="0" w:color="auto"/>
      </w:divBdr>
    </w:div>
    <w:div w:id="854266659">
      <w:bodyDiv w:val="1"/>
      <w:marLeft w:val="0"/>
      <w:marRight w:val="0"/>
      <w:marTop w:val="0"/>
      <w:marBottom w:val="0"/>
      <w:divBdr>
        <w:top w:val="none" w:sz="0" w:space="0" w:color="auto"/>
        <w:left w:val="none" w:sz="0" w:space="0" w:color="auto"/>
        <w:bottom w:val="none" w:sz="0" w:space="0" w:color="auto"/>
        <w:right w:val="none" w:sz="0" w:space="0" w:color="auto"/>
      </w:divBdr>
    </w:div>
    <w:div w:id="912281042">
      <w:bodyDiv w:val="1"/>
      <w:marLeft w:val="0"/>
      <w:marRight w:val="0"/>
      <w:marTop w:val="0"/>
      <w:marBottom w:val="0"/>
      <w:divBdr>
        <w:top w:val="none" w:sz="0" w:space="0" w:color="auto"/>
        <w:left w:val="none" w:sz="0" w:space="0" w:color="auto"/>
        <w:bottom w:val="none" w:sz="0" w:space="0" w:color="auto"/>
        <w:right w:val="none" w:sz="0" w:space="0" w:color="auto"/>
      </w:divBdr>
    </w:div>
    <w:div w:id="970134604">
      <w:bodyDiv w:val="1"/>
      <w:marLeft w:val="0"/>
      <w:marRight w:val="0"/>
      <w:marTop w:val="0"/>
      <w:marBottom w:val="0"/>
      <w:divBdr>
        <w:top w:val="none" w:sz="0" w:space="0" w:color="auto"/>
        <w:left w:val="none" w:sz="0" w:space="0" w:color="auto"/>
        <w:bottom w:val="none" w:sz="0" w:space="0" w:color="auto"/>
        <w:right w:val="none" w:sz="0" w:space="0" w:color="auto"/>
      </w:divBdr>
    </w:div>
    <w:div w:id="980385748">
      <w:bodyDiv w:val="1"/>
      <w:marLeft w:val="0"/>
      <w:marRight w:val="0"/>
      <w:marTop w:val="0"/>
      <w:marBottom w:val="0"/>
      <w:divBdr>
        <w:top w:val="none" w:sz="0" w:space="0" w:color="auto"/>
        <w:left w:val="none" w:sz="0" w:space="0" w:color="auto"/>
        <w:bottom w:val="none" w:sz="0" w:space="0" w:color="auto"/>
        <w:right w:val="none" w:sz="0" w:space="0" w:color="auto"/>
      </w:divBdr>
    </w:div>
    <w:div w:id="1025714857">
      <w:bodyDiv w:val="1"/>
      <w:marLeft w:val="0"/>
      <w:marRight w:val="0"/>
      <w:marTop w:val="0"/>
      <w:marBottom w:val="0"/>
      <w:divBdr>
        <w:top w:val="none" w:sz="0" w:space="0" w:color="auto"/>
        <w:left w:val="none" w:sz="0" w:space="0" w:color="auto"/>
        <w:bottom w:val="none" w:sz="0" w:space="0" w:color="auto"/>
        <w:right w:val="none" w:sz="0" w:space="0" w:color="auto"/>
      </w:divBdr>
    </w:div>
    <w:div w:id="1092623427">
      <w:bodyDiv w:val="1"/>
      <w:marLeft w:val="0"/>
      <w:marRight w:val="0"/>
      <w:marTop w:val="0"/>
      <w:marBottom w:val="0"/>
      <w:divBdr>
        <w:top w:val="none" w:sz="0" w:space="0" w:color="auto"/>
        <w:left w:val="none" w:sz="0" w:space="0" w:color="auto"/>
        <w:bottom w:val="none" w:sz="0" w:space="0" w:color="auto"/>
        <w:right w:val="none" w:sz="0" w:space="0" w:color="auto"/>
      </w:divBdr>
    </w:div>
    <w:div w:id="1105267518">
      <w:bodyDiv w:val="1"/>
      <w:marLeft w:val="0"/>
      <w:marRight w:val="0"/>
      <w:marTop w:val="0"/>
      <w:marBottom w:val="0"/>
      <w:divBdr>
        <w:top w:val="none" w:sz="0" w:space="0" w:color="auto"/>
        <w:left w:val="none" w:sz="0" w:space="0" w:color="auto"/>
        <w:bottom w:val="none" w:sz="0" w:space="0" w:color="auto"/>
        <w:right w:val="none" w:sz="0" w:space="0" w:color="auto"/>
      </w:divBdr>
    </w:div>
    <w:div w:id="1145470818">
      <w:bodyDiv w:val="1"/>
      <w:marLeft w:val="0"/>
      <w:marRight w:val="0"/>
      <w:marTop w:val="0"/>
      <w:marBottom w:val="0"/>
      <w:divBdr>
        <w:top w:val="none" w:sz="0" w:space="0" w:color="auto"/>
        <w:left w:val="none" w:sz="0" w:space="0" w:color="auto"/>
        <w:bottom w:val="none" w:sz="0" w:space="0" w:color="auto"/>
        <w:right w:val="none" w:sz="0" w:space="0" w:color="auto"/>
      </w:divBdr>
    </w:div>
    <w:div w:id="1159467360">
      <w:bodyDiv w:val="1"/>
      <w:marLeft w:val="0"/>
      <w:marRight w:val="0"/>
      <w:marTop w:val="0"/>
      <w:marBottom w:val="0"/>
      <w:divBdr>
        <w:top w:val="none" w:sz="0" w:space="0" w:color="auto"/>
        <w:left w:val="none" w:sz="0" w:space="0" w:color="auto"/>
        <w:bottom w:val="none" w:sz="0" w:space="0" w:color="auto"/>
        <w:right w:val="none" w:sz="0" w:space="0" w:color="auto"/>
      </w:divBdr>
    </w:div>
    <w:div w:id="1209994092">
      <w:bodyDiv w:val="1"/>
      <w:marLeft w:val="0"/>
      <w:marRight w:val="0"/>
      <w:marTop w:val="0"/>
      <w:marBottom w:val="0"/>
      <w:divBdr>
        <w:top w:val="none" w:sz="0" w:space="0" w:color="auto"/>
        <w:left w:val="none" w:sz="0" w:space="0" w:color="auto"/>
        <w:bottom w:val="none" w:sz="0" w:space="0" w:color="auto"/>
        <w:right w:val="none" w:sz="0" w:space="0" w:color="auto"/>
      </w:divBdr>
    </w:div>
    <w:div w:id="1213075608">
      <w:bodyDiv w:val="1"/>
      <w:marLeft w:val="0"/>
      <w:marRight w:val="0"/>
      <w:marTop w:val="0"/>
      <w:marBottom w:val="0"/>
      <w:divBdr>
        <w:top w:val="none" w:sz="0" w:space="0" w:color="auto"/>
        <w:left w:val="none" w:sz="0" w:space="0" w:color="auto"/>
        <w:bottom w:val="none" w:sz="0" w:space="0" w:color="auto"/>
        <w:right w:val="none" w:sz="0" w:space="0" w:color="auto"/>
      </w:divBdr>
    </w:div>
    <w:div w:id="1222406286">
      <w:bodyDiv w:val="1"/>
      <w:marLeft w:val="0"/>
      <w:marRight w:val="0"/>
      <w:marTop w:val="0"/>
      <w:marBottom w:val="0"/>
      <w:divBdr>
        <w:top w:val="none" w:sz="0" w:space="0" w:color="auto"/>
        <w:left w:val="none" w:sz="0" w:space="0" w:color="auto"/>
        <w:bottom w:val="none" w:sz="0" w:space="0" w:color="auto"/>
        <w:right w:val="none" w:sz="0" w:space="0" w:color="auto"/>
      </w:divBdr>
    </w:div>
    <w:div w:id="1222907316">
      <w:bodyDiv w:val="1"/>
      <w:marLeft w:val="0"/>
      <w:marRight w:val="0"/>
      <w:marTop w:val="0"/>
      <w:marBottom w:val="0"/>
      <w:divBdr>
        <w:top w:val="none" w:sz="0" w:space="0" w:color="auto"/>
        <w:left w:val="none" w:sz="0" w:space="0" w:color="auto"/>
        <w:bottom w:val="none" w:sz="0" w:space="0" w:color="auto"/>
        <w:right w:val="none" w:sz="0" w:space="0" w:color="auto"/>
      </w:divBdr>
    </w:div>
    <w:div w:id="1239511430">
      <w:bodyDiv w:val="1"/>
      <w:marLeft w:val="0"/>
      <w:marRight w:val="0"/>
      <w:marTop w:val="0"/>
      <w:marBottom w:val="0"/>
      <w:divBdr>
        <w:top w:val="none" w:sz="0" w:space="0" w:color="auto"/>
        <w:left w:val="none" w:sz="0" w:space="0" w:color="auto"/>
        <w:bottom w:val="none" w:sz="0" w:space="0" w:color="auto"/>
        <w:right w:val="none" w:sz="0" w:space="0" w:color="auto"/>
      </w:divBdr>
    </w:div>
    <w:div w:id="1247809603">
      <w:bodyDiv w:val="1"/>
      <w:marLeft w:val="0"/>
      <w:marRight w:val="0"/>
      <w:marTop w:val="0"/>
      <w:marBottom w:val="0"/>
      <w:divBdr>
        <w:top w:val="none" w:sz="0" w:space="0" w:color="auto"/>
        <w:left w:val="none" w:sz="0" w:space="0" w:color="auto"/>
        <w:bottom w:val="none" w:sz="0" w:space="0" w:color="auto"/>
        <w:right w:val="none" w:sz="0" w:space="0" w:color="auto"/>
      </w:divBdr>
    </w:div>
    <w:div w:id="1286229696">
      <w:bodyDiv w:val="1"/>
      <w:marLeft w:val="0"/>
      <w:marRight w:val="0"/>
      <w:marTop w:val="0"/>
      <w:marBottom w:val="0"/>
      <w:divBdr>
        <w:top w:val="none" w:sz="0" w:space="0" w:color="auto"/>
        <w:left w:val="none" w:sz="0" w:space="0" w:color="auto"/>
        <w:bottom w:val="none" w:sz="0" w:space="0" w:color="auto"/>
        <w:right w:val="none" w:sz="0" w:space="0" w:color="auto"/>
      </w:divBdr>
    </w:div>
    <w:div w:id="1369988904">
      <w:bodyDiv w:val="1"/>
      <w:marLeft w:val="0"/>
      <w:marRight w:val="0"/>
      <w:marTop w:val="0"/>
      <w:marBottom w:val="0"/>
      <w:divBdr>
        <w:top w:val="none" w:sz="0" w:space="0" w:color="auto"/>
        <w:left w:val="none" w:sz="0" w:space="0" w:color="auto"/>
        <w:bottom w:val="none" w:sz="0" w:space="0" w:color="auto"/>
        <w:right w:val="none" w:sz="0" w:space="0" w:color="auto"/>
      </w:divBdr>
    </w:div>
    <w:div w:id="1394809447">
      <w:bodyDiv w:val="1"/>
      <w:marLeft w:val="0"/>
      <w:marRight w:val="0"/>
      <w:marTop w:val="0"/>
      <w:marBottom w:val="0"/>
      <w:divBdr>
        <w:top w:val="none" w:sz="0" w:space="0" w:color="auto"/>
        <w:left w:val="none" w:sz="0" w:space="0" w:color="auto"/>
        <w:bottom w:val="none" w:sz="0" w:space="0" w:color="auto"/>
        <w:right w:val="none" w:sz="0" w:space="0" w:color="auto"/>
      </w:divBdr>
    </w:div>
    <w:div w:id="1408189741">
      <w:bodyDiv w:val="1"/>
      <w:marLeft w:val="0"/>
      <w:marRight w:val="0"/>
      <w:marTop w:val="0"/>
      <w:marBottom w:val="0"/>
      <w:divBdr>
        <w:top w:val="none" w:sz="0" w:space="0" w:color="auto"/>
        <w:left w:val="none" w:sz="0" w:space="0" w:color="auto"/>
        <w:bottom w:val="none" w:sz="0" w:space="0" w:color="auto"/>
        <w:right w:val="none" w:sz="0" w:space="0" w:color="auto"/>
      </w:divBdr>
    </w:div>
    <w:div w:id="1425496833">
      <w:bodyDiv w:val="1"/>
      <w:marLeft w:val="0"/>
      <w:marRight w:val="0"/>
      <w:marTop w:val="0"/>
      <w:marBottom w:val="0"/>
      <w:divBdr>
        <w:top w:val="none" w:sz="0" w:space="0" w:color="auto"/>
        <w:left w:val="none" w:sz="0" w:space="0" w:color="auto"/>
        <w:bottom w:val="none" w:sz="0" w:space="0" w:color="auto"/>
        <w:right w:val="none" w:sz="0" w:space="0" w:color="auto"/>
      </w:divBdr>
    </w:div>
    <w:div w:id="1466311596">
      <w:bodyDiv w:val="1"/>
      <w:marLeft w:val="0"/>
      <w:marRight w:val="0"/>
      <w:marTop w:val="0"/>
      <w:marBottom w:val="0"/>
      <w:divBdr>
        <w:top w:val="none" w:sz="0" w:space="0" w:color="auto"/>
        <w:left w:val="none" w:sz="0" w:space="0" w:color="auto"/>
        <w:bottom w:val="none" w:sz="0" w:space="0" w:color="auto"/>
        <w:right w:val="none" w:sz="0" w:space="0" w:color="auto"/>
      </w:divBdr>
    </w:div>
    <w:div w:id="1492789383">
      <w:bodyDiv w:val="1"/>
      <w:marLeft w:val="0"/>
      <w:marRight w:val="0"/>
      <w:marTop w:val="0"/>
      <w:marBottom w:val="0"/>
      <w:divBdr>
        <w:top w:val="none" w:sz="0" w:space="0" w:color="auto"/>
        <w:left w:val="none" w:sz="0" w:space="0" w:color="auto"/>
        <w:bottom w:val="none" w:sz="0" w:space="0" w:color="auto"/>
        <w:right w:val="none" w:sz="0" w:space="0" w:color="auto"/>
      </w:divBdr>
    </w:div>
    <w:div w:id="1521318467">
      <w:bodyDiv w:val="1"/>
      <w:marLeft w:val="0"/>
      <w:marRight w:val="0"/>
      <w:marTop w:val="0"/>
      <w:marBottom w:val="0"/>
      <w:divBdr>
        <w:top w:val="none" w:sz="0" w:space="0" w:color="auto"/>
        <w:left w:val="none" w:sz="0" w:space="0" w:color="auto"/>
        <w:bottom w:val="none" w:sz="0" w:space="0" w:color="auto"/>
        <w:right w:val="none" w:sz="0" w:space="0" w:color="auto"/>
      </w:divBdr>
    </w:div>
    <w:div w:id="1589733573">
      <w:bodyDiv w:val="1"/>
      <w:marLeft w:val="0"/>
      <w:marRight w:val="0"/>
      <w:marTop w:val="0"/>
      <w:marBottom w:val="0"/>
      <w:divBdr>
        <w:top w:val="none" w:sz="0" w:space="0" w:color="auto"/>
        <w:left w:val="none" w:sz="0" w:space="0" w:color="auto"/>
        <w:bottom w:val="none" w:sz="0" w:space="0" w:color="auto"/>
        <w:right w:val="none" w:sz="0" w:space="0" w:color="auto"/>
      </w:divBdr>
    </w:div>
    <w:div w:id="1607738769">
      <w:bodyDiv w:val="1"/>
      <w:marLeft w:val="0"/>
      <w:marRight w:val="0"/>
      <w:marTop w:val="0"/>
      <w:marBottom w:val="0"/>
      <w:divBdr>
        <w:top w:val="none" w:sz="0" w:space="0" w:color="auto"/>
        <w:left w:val="none" w:sz="0" w:space="0" w:color="auto"/>
        <w:bottom w:val="none" w:sz="0" w:space="0" w:color="auto"/>
        <w:right w:val="none" w:sz="0" w:space="0" w:color="auto"/>
      </w:divBdr>
    </w:div>
    <w:div w:id="1649624316">
      <w:bodyDiv w:val="1"/>
      <w:marLeft w:val="0"/>
      <w:marRight w:val="0"/>
      <w:marTop w:val="0"/>
      <w:marBottom w:val="0"/>
      <w:divBdr>
        <w:top w:val="none" w:sz="0" w:space="0" w:color="auto"/>
        <w:left w:val="none" w:sz="0" w:space="0" w:color="auto"/>
        <w:bottom w:val="none" w:sz="0" w:space="0" w:color="auto"/>
        <w:right w:val="none" w:sz="0" w:space="0" w:color="auto"/>
      </w:divBdr>
    </w:div>
    <w:div w:id="1658457315">
      <w:bodyDiv w:val="1"/>
      <w:marLeft w:val="0"/>
      <w:marRight w:val="0"/>
      <w:marTop w:val="0"/>
      <w:marBottom w:val="0"/>
      <w:divBdr>
        <w:top w:val="none" w:sz="0" w:space="0" w:color="auto"/>
        <w:left w:val="none" w:sz="0" w:space="0" w:color="auto"/>
        <w:bottom w:val="none" w:sz="0" w:space="0" w:color="auto"/>
        <w:right w:val="none" w:sz="0" w:space="0" w:color="auto"/>
      </w:divBdr>
    </w:div>
    <w:div w:id="1818766543">
      <w:bodyDiv w:val="1"/>
      <w:marLeft w:val="0"/>
      <w:marRight w:val="0"/>
      <w:marTop w:val="0"/>
      <w:marBottom w:val="0"/>
      <w:divBdr>
        <w:top w:val="none" w:sz="0" w:space="0" w:color="auto"/>
        <w:left w:val="none" w:sz="0" w:space="0" w:color="auto"/>
        <w:bottom w:val="none" w:sz="0" w:space="0" w:color="auto"/>
        <w:right w:val="none" w:sz="0" w:space="0" w:color="auto"/>
      </w:divBdr>
    </w:div>
    <w:div w:id="1828276609">
      <w:bodyDiv w:val="1"/>
      <w:marLeft w:val="0"/>
      <w:marRight w:val="0"/>
      <w:marTop w:val="0"/>
      <w:marBottom w:val="0"/>
      <w:divBdr>
        <w:top w:val="none" w:sz="0" w:space="0" w:color="auto"/>
        <w:left w:val="none" w:sz="0" w:space="0" w:color="auto"/>
        <w:bottom w:val="none" w:sz="0" w:space="0" w:color="auto"/>
        <w:right w:val="none" w:sz="0" w:space="0" w:color="auto"/>
      </w:divBdr>
    </w:div>
    <w:div w:id="1847398385">
      <w:bodyDiv w:val="1"/>
      <w:marLeft w:val="0"/>
      <w:marRight w:val="0"/>
      <w:marTop w:val="0"/>
      <w:marBottom w:val="0"/>
      <w:divBdr>
        <w:top w:val="none" w:sz="0" w:space="0" w:color="auto"/>
        <w:left w:val="none" w:sz="0" w:space="0" w:color="auto"/>
        <w:bottom w:val="none" w:sz="0" w:space="0" w:color="auto"/>
        <w:right w:val="none" w:sz="0" w:space="0" w:color="auto"/>
      </w:divBdr>
    </w:div>
    <w:div w:id="1895314965">
      <w:bodyDiv w:val="1"/>
      <w:marLeft w:val="0"/>
      <w:marRight w:val="0"/>
      <w:marTop w:val="0"/>
      <w:marBottom w:val="0"/>
      <w:divBdr>
        <w:top w:val="none" w:sz="0" w:space="0" w:color="auto"/>
        <w:left w:val="none" w:sz="0" w:space="0" w:color="auto"/>
        <w:bottom w:val="none" w:sz="0" w:space="0" w:color="auto"/>
        <w:right w:val="none" w:sz="0" w:space="0" w:color="auto"/>
      </w:divBdr>
    </w:div>
    <w:div w:id="1899172165">
      <w:bodyDiv w:val="1"/>
      <w:marLeft w:val="0"/>
      <w:marRight w:val="0"/>
      <w:marTop w:val="0"/>
      <w:marBottom w:val="0"/>
      <w:divBdr>
        <w:top w:val="none" w:sz="0" w:space="0" w:color="auto"/>
        <w:left w:val="none" w:sz="0" w:space="0" w:color="auto"/>
        <w:bottom w:val="none" w:sz="0" w:space="0" w:color="auto"/>
        <w:right w:val="none" w:sz="0" w:space="0" w:color="auto"/>
      </w:divBdr>
    </w:div>
    <w:div w:id="1900363123">
      <w:bodyDiv w:val="1"/>
      <w:marLeft w:val="0"/>
      <w:marRight w:val="0"/>
      <w:marTop w:val="0"/>
      <w:marBottom w:val="0"/>
      <w:divBdr>
        <w:top w:val="none" w:sz="0" w:space="0" w:color="auto"/>
        <w:left w:val="none" w:sz="0" w:space="0" w:color="auto"/>
        <w:bottom w:val="none" w:sz="0" w:space="0" w:color="auto"/>
        <w:right w:val="none" w:sz="0" w:space="0" w:color="auto"/>
      </w:divBdr>
    </w:div>
    <w:div w:id="1921862585">
      <w:bodyDiv w:val="1"/>
      <w:marLeft w:val="0"/>
      <w:marRight w:val="0"/>
      <w:marTop w:val="0"/>
      <w:marBottom w:val="0"/>
      <w:divBdr>
        <w:top w:val="none" w:sz="0" w:space="0" w:color="auto"/>
        <w:left w:val="none" w:sz="0" w:space="0" w:color="auto"/>
        <w:bottom w:val="none" w:sz="0" w:space="0" w:color="auto"/>
        <w:right w:val="none" w:sz="0" w:space="0" w:color="auto"/>
      </w:divBdr>
    </w:div>
    <w:div w:id="1932733976">
      <w:bodyDiv w:val="1"/>
      <w:marLeft w:val="0"/>
      <w:marRight w:val="0"/>
      <w:marTop w:val="0"/>
      <w:marBottom w:val="0"/>
      <w:divBdr>
        <w:top w:val="none" w:sz="0" w:space="0" w:color="auto"/>
        <w:left w:val="none" w:sz="0" w:space="0" w:color="auto"/>
        <w:bottom w:val="none" w:sz="0" w:space="0" w:color="auto"/>
        <w:right w:val="none" w:sz="0" w:space="0" w:color="auto"/>
      </w:divBdr>
    </w:div>
    <w:div w:id="1966505150">
      <w:bodyDiv w:val="1"/>
      <w:marLeft w:val="0"/>
      <w:marRight w:val="0"/>
      <w:marTop w:val="0"/>
      <w:marBottom w:val="0"/>
      <w:divBdr>
        <w:top w:val="none" w:sz="0" w:space="0" w:color="auto"/>
        <w:left w:val="none" w:sz="0" w:space="0" w:color="auto"/>
        <w:bottom w:val="none" w:sz="0" w:space="0" w:color="auto"/>
        <w:right w:val="none" w:sz="0" w:space="0" w:color="auto"/>
      </w:divBdr>
    </w:div>
    <w:div w:id="1986661485">
      <w:bodyDiv w:val="1"/>
      <w:marLeft w:val="0"/>
      <w:marRight w:val="0"/>
      <w:marTop w:val="0"/>
      <w:marBottom w:val="0"/>
      <w:divBdr>
        <w:top w:val="none" w:sz="0" w:space="0" w:color="auto"/>
        <w:left w:val="none" w:sz="0" w:space="0" w:color="auto"/>
        <w:bottom w:val="none" w:sz="0" w:space="0" w:color="auto"/>
        <w:right w:val="none" w:sz="0" w:space="0" w:color="auto"/>
      </w:divBdr>
    </w:div>
    <w:div w:id="2017027442">
      <w:bodyDiv w:val="1"/>
      <w:marLeft w:val="0"/>
      <w:marRight w:val="0"/>
      <w:marTop w:val="0"/>
      <w:marBottom w:val="0"/>
      <w:divBdr>
        <w:top w:val="none" w:sz="0" w:space="0" w:color="auto"/>
        <w:left w:val="none" w:sz="0" w:space="0" w:color="auto"/>
        <w:bottom w:val="none" w:sz="0" w:space="0" w:color="auto"/>
        <w:right w:val="none" w:sz="0" w:space="0" w:color="auto"/>
      </w:divBdr>
    </w:div>
    <w:div w:id="2125886228">
      <w:bodyDiv w:val="1"/>
      <w:marLeft w:val="0"/>
      <w:marRight w:val="0"/>
      <w:marTop w:val="0"/>
      <w:marBottom w:val="0"/>
      <w:divBdr>
        <w:top w:val="none" w:sz="0" w:space="0" w:color="auto"/>
        <w:left w:val="none" w:sz="0" w:space="0" w:color="auto"/>
        <w:bottom w:val="none" w:sz="0" w:space="0" w:color="auto"/>
        <w:right w:val="none" w:sz="0" w:space="0" w:color="auto"/>
      </w:divBdr>
    </w:div>
    <w:div w:id="212765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ljazeera.com/features/2015/6/24/bangladesh-indigenous-ban-worse-than-aparthe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1431</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Hossain</dc:creator>
  <cp:keywords/>
  <dc:description/>
  <cp:lastModifiedBy>Imtiaz Hossain</cp:lastModifiedBy>
  <cp:revision>25</cp:revision>
  <dcterms:created xsi:type="dcterms:W3CDTF">2024-05-11T10:42:00Z</dcterms:created>
  <dcterms:modified xsi:type="dcterms:W3CDTF">2024-05-11T12:05:00Z</dcterms:modified>
</cp:coreProperties>
</file>