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DPM Wallet (dpmw) — Technical Specification</w:t>
      </w:r>
    </w:p>
    <w:p>
      <w:pPr>
        <w:pStyle w:val="BodyText"/>
        <w:bidi w:val="0"/>
        <w:jc w:val="left"/>
        <w:rPr/>
      </w:pPr>
      <w:r>
        <w:rPr/>
        <w:t>Version: 0.1 (draft) · Status: for review · Owner: Plaee DPM</w:t>
      </w:r>
    </w:p>
    <w:p>
      <w:pPr>
        <w:pStyle w:val="HorizontalLine"/>
        <w:bidi w:val="0"/>
        <w:jc w:val="left"/>
        <w:rPr/>
      </w:pPr>
      <w:r>
        <w:rPr/>
      </w:r>
    </w:p>
    <w:p>
      <w:pPr>
        <w:pStyle w:val="Heading2"/>
        <w:bidi w:val="0"/>
        <w:jc w:val="left"/>
        <w:rPr/>
      </w:pPr>
      <w:r>
        <w:rPr/>
        <w:t>1. Summary</w:t>
      </w:r>
    </w:p>
    <w:p>
      <w:pPr>
        <w:pStyle w:val="BodyText"/>
        <w:bidi w:val="0"/>
        <w:jc w:val="left"/>
        <w:rPr/>
      </w:pPr>
      <w:r>
        <w:rPr/>
        <w:t>The DPM Wallet (</w:t>
      </w:r>
      <w:r>
        <w:rPr>
          <w:rStyle w:val="SourceText"/>
        </w:rPr>
        <w:t>dpmw</w:t>
      </w:r>
      <w:r>
        <w:rPr/>
        <w:t>) is a lightweight, operator-hosted TypeScript service that does two things and nothing else:</w:t>
      </w:r>
    </w:p>
    <w:p>
      <w:pPr>
        <w:pStyle w:val="BodyText"/>
        <w:numPr>
          <w:ilvl w:val="0"/>
          <w:numId w:val="1"/>
        </w:numPr>
        <w:tabs>
          <w:tab w:val="clear" w:pos="1134"/>
          <w:tab w:val="left" w:pos="709" w:leader="none"/>
        </w:tabs>
        <w:bidi w:val="0"/>
        <w:spacing w:before="0" w:after="0"/>
        <w:ind w:hanging="283" w:left="709"/>
        <w:jc w:val="left"/>
        <w:rPr/>
      </w:pPr>
      <w:r>
        <w:rPr>
          <w:rStyle w:val="Strong"/>
        </w:rPr>
        <w:t>Creates and manages blockchain addresses</w:t>
      </w:r>
      <w:r>
        <w:rPr/>
        <w:t xml:space="preserve"> for an operator and its customers. </w:t>
      </w:r>
    </w:p>
    <w:p>
      <w:pPr>
        <w:pStyle w:val="BodyText"/>
        <w:numPr>
          <w:ilvl w:val="0"/>
          <w:numId w:val="1"/>
        </w:numPr>
        <w:tabs>
          <w:tab w:val="clear" w:pos="1134"/>
          <w:tab w:val="left" w:pos="709" w:leader="none"/>
        </w:tabs>
        <w:bidi w:val="0"/>
        <w:ind w:hanging="283" w:left="709"/>
        <w:jc w:val="left"/>
        <w:rPr/>
      </w:pPr>
      <w:r>
        <w:rPr>
          <w:rStyle w:val="Strong"/>
        </w:rPr>
        <w:t>Signs payloads</w:t>
      </w:r>
      <w:r>
        <w:rPr/>
        <w:t xml:space="preserve"> — trading orders, proxy meta-transactions (allowance, redeem, withdrawal), and raw treasury transactions. </w:t>
      </w:r>
    </w:p>
    <w:p>
      <w:pPr>
        <w:pStyle w:val="BodyText"/>
        <w:bidi w:val="0"/>
        <w:jc w:val="left"/>
        <w:rPr/>
      </w:pPr>
      <w:r>
        <w:rPr/>
        <w:t xml:space="preserve">It is delivered as a single Docker image that each operator runs inside their own infrastructure. The only caller into the </w:t>
      </w:r>
      <w:r>
        <w:rPr>
          <w:rStyle w:val="SourceText"/>
        </w:rPr>
        <w:t>dpmw</w:t>
      </w:r>
      <w:r>
        <w:rPr/>
        <w:t xml:space="preserve"> is the operator's backend (the "Operator DPM Gateway"). The </w:t>
      </w:r>
      <w:r>
        <w:rPr>
          <w:rStyle w:val="SourceText"/>
        </w:rPr>
        <w:t>dpmw</w:t>
      </w:r>
      <w:r>
        <w:rPr/>
        <w:t xml:space="preserve"> never talks to Plaee except for one read-only call needed to assemble a meta-transaction (see </w:t>
      </w:r>
      <w:hyperlink w:anchor="5-trust-boundary-and-outbound-dependenci">
        <w:r>
          <w:rPr>
            <w:rStyle w:val="Hyperlink"/>
          </w:rPr>
          <w:t>Section 5</w:t>
        </w:r>
      </w:hyperlink>
      <w:r>
        <w:rPr/>
        <w:t>).</w:t>
      </w:r>
    </w:p>
    <w:p>
      <w:pPr>
        <w:pStyle w:val="BodyText"/>
        <w:bidi w:val="0"/>
        <w:jc w:val="left"/>
        <w:rPr/>
      </w:pPr>
      <w:r>
        <w:rPr/>
        <w:t xml:space="preserve">Key custody is pluggable. In </w:t>
      </w:r>
      <w:r>
        <w:rPr>
          <w:rStyle w:val="Strong"/>
        </w:rPr>
        <w:t>self-custody (mnemonic) mode</w:t>
      </w:r>
      <w:r>
        <w:rPr/>
        <w:t xml:space="preserve"> the service generates a BIP-39 mnemonic on first run and derives every address from it. In </w:t>
      </w:r>
      <w:r>
        <w:rPr>
          <w:rStyle w:val="Strong"/>
        </w:rPr>
        <w:t>Turnkey mode</w:t>
      </w:r>
      <w:r>
        <w:rPr/>
        <w:t xml:space="preserve"> the private keys live in the Turnkey TEE and the service asks Turnkey to sign. Both modes sit behind one interface, so a third provider (e.g. Fireblocks) can be added without touching business logic.</w:t>
      </w:r>
    </w:p>
    <w:p>
      <w:pPr>
        <w:pStyle w:val="BodyText"/>
        <w:bidi w:val="0"/>
        <w:jc w:val="left"/>
        <w:rPr/>
      </w:pPr>
      <w:r>
        <w:rPr/>
        <w:t xml:space="preserve">The service is built on top of the existing </w:t>
      </w:r>
      <w:r>
        <w:rPr>
          <w:rStyle w:val="SourceText"/>
        </w:rPr>
        <w:t>dpm-sdk</w:t>
      </w:r>
      <w:r>
        <w:rPr/>
        <w:t xml:space="preserve"> rather than reimplementing any cryptography. All EIP-712 order construction, proxy-call encoding, and RelayHub struct hashing is reused from the SDK, which is vendored into the image.</w:t>
      </w:r>
    </w:p>
    <w:p>
      <w:pPr>
        <w:pStyle w:val="HorizontalLine"/>
        <w:bidi w:val="0"/>
        <w:jc w:val="left"/>
        <w:rPr/>
      </w:pPr>
      <w:r>
        <w:rPr/>
      </w:r>
    </w:p>
    <w:p>
      <w:pPr>
        <w:pStyle w:val="Heading2"/>
        <w:bidi w:val="0"/>
        <w:jc w:val="left"/>
        <w:rPr/>
      </w:pPr>
      <w:r>
        <w:rPr/>
        <w:t>2. Goals and non-goals</w:t>
      </w:r>
    </w:p>
    <w:p>
      <w:pPr>
        <w:pStyle w:val="Heading3"/>
        <w:bidi w:val="0"/>
        <w:jc w:val="left"/>
        <w:rPr/>
      </w:pPr>
      <w:r>
        <w:rPr/>
        <w:t>2.1 Goals (v1)</w:t>
      </w:r>
    </w:p>
    <w:p>
      <w:pPr>
        <w:pStyle w:val="BodyText"/>
        <w:numPr>
          <w:ilvl w:val="0"/>
          <w:numId w:val="2"/>
        </w:numPr>
        <w:tabs>
          <w:tab w:val="clear" w:pos="1134"/>
          <w:tab w:val="left" w:pos="709" w:leader="none"/>
        </w:tabs>
        <w:bidi w:val="0"/>
        <w:spacing w:before="0" w:after="0"/>
        <w:ind w:hanging="283" w:left="709"/>
        <w:jc w:val="left"/>
        <w:rPr/>
      </w:pPr>
      <w:r>
        <w:rPr/>
        <w:t xml:space="preserve">Generate and persist a </w:t>
      </w:r>
      <w:r>
        <w:rPr>
          <w:rStyle w:val="Strong"/>
        </w:rPr>
        <w:t>master wallet</w:t>
      </w:r>
      <w:r>
        <w:rPr/>
        <w:t xml:space="preserve">, an </w:t>
      </w:r>
      <w:r>
        <w:rPr>
          <w:rStyle w:val="Strong"/>
        </w:rPr>
        <w:t>operational wallet</w:t>
      </w:r>
      <w:r>
        <w:rPr/>
        <w:t xml:space="preserve">, and any number of </w:t>
      </w:r>
      <w:r>
        <w:rPr>
          <w:rStyle w:val="Strong"/>
        </w:rPr>
        <w:t>customer wallets</w:t>
      </w:r>
      <w:r>
        <w:rPr/>
        <w:t xml:space="preserve">. </w:t>
      </w:r>
    </w:p>
    <w:p>
      <w:pPr>
        <w:pStyle w:val="BodyText"/>
        <w:numPr>
          <w:ilvl w:val="0"/>
          <w:numId w:val="2"/>
        </w:numPr>
        <w:tabs>
          <w:tab w:val="clear" w:pos="1134"/>
          <w:tab w:val="left" w:pos="709" w:leader="none"/>
        </w:tabs>
        <w:bidi w:val="0"/>
        <w:spacing w:before="0" w:after="0"/>
        <w:ind w:hanging="283" w:left="709"/>
        <w:jc w:val="left"/>
        <w:rPr/>
      </w:pPr>
      <w:r>
        <w:rPr/>
        <w:t xml:space="preserve">Derive and return each customer's </w:t>
      </w:r>
      <w:r>
        <w:rPr>
          <w:rStyle w:val="Strong"/>
        </w:rPr>
        <w:t>on-chain proxy wallet address</w:t>
      </w:r>
      <w:r>
        <w:rPr/>
        <w:t xml:space="preserve"> without a chain round-trip. </w:t>
      </w:r>
    </w:p>
    <w:p>
      <w:pPr>
        <w:pStyle w:val="BodyText"/>
        <w:numPr>
          <w:ilvl w:val="0"/>
          <w:numId w:val="2"/>
        </w:numPr>
        <w:tabs>
          <w:tab w:val="clear" w:pos="1134"/>
          <w:tab w:val="left" w:pos="709" w:leader="none"/>
        </w:tabs>
        <w:bidi w:val="0"/>
        <w:spacing w:before="0" w:after="0"/>
        <w:ind w:hanging="283" w:left="709"/>
        <w:jc w:val="left"/>
        <w:rPr/>
      </w:pPr>
      <w:r>
        <w:rPr/>
        <w:t xml:space="preserve">Sign </w:t>
      </w:r>
      <w:r>
        <w:rPr>
          <w:rStyle w:val="Strong"/>
        </w:rPr>
        <w:t>CLOB orders</w:t>
      </w:r>
      <w:r>
        <w:rPr/>
        <w:t xml:space="preserve"> (EIP-712) and return the signed order to the operator. </w:t>
      </w:r>
    </w:p>
    <w:p>
      <w:pPr>
        <w:pStyle w:val="BodyText"/>
        <w:numPr>
          <w:ilvl w:val="0"/>
          <w:numId w:val="2"/>
        </w:numPr>
        <w:tabs>
          <w:tab w:val="clear" w:pos="1134"/>
          <w:tab w:val="left" w:pos="709" w:leader="none"/>
        </w:tabs>
        <w:bidi w:val="0"/>
        <w:spacing w:before="0" w:after="0"/>
        <w:ind w:hanging="283" w:left="709"/>
        <w:jc w:val="left"/>
        <w:rPr/>
      </w:pPr>
      <w:r>
        <w:rPr/>
        <w:t xml:space="preserve">Build and sign </w:t>
      </w:r>
      <w:r>
        <w:rPr>
          <w:rStyle w:val="Strong"/>
        </w:rPr>
        <w:t>proxy meta-transactions</w:t>
      </w:r>
      <w:r>
        <w:rPr/>
        <w:t xml:space="preserve"> — USDC/CTF allowance, redeem, proxy withdrawal, split, merge — and return a ready-to-submit request body to the operator. </w:t>
      </w:r>
    </w:p>
    <w:p>
      <w:pPr>
        <w:pStyle w:val="BodyText"/>
        <w:numPr>
          <w:ilvl w:val="0"/>
          <w:numId w:val="2"/>
        </w:numPr>
        <w:tabs>
          <w:tab w:val="clear" w:pos="1134"/>
          <w:tab w:val="left" w:pos="709" w:leader="none"/>
        </w:tabs>
        <w:bidi w:val="0"/>
        <w:spacing w:before="0" w:after="0"/>
        <w:ind w:hanging="283" w:left="709"/>
        <w:jc w:val="left"/>
        <w:rPr/>
      </w:pPr>
      <w:r>
        <w:rPr/>
        <w:t xml:space="preserve">Sign </w:t>
      </w:r>
      <w:r>
        <w:rPr>
          <w:rStyle w:val="Strong"/>
        </w:rPr>
        <w:t>raw treasury transactions</w:t>
      </w:r>
      <w:r>
        <w:rPr/>
        <w:t xml:space="preserve"> (master ↔ operational rebalancing, master → external) and return the signed transaction hex. </w:t>
      </w:r>
    </w:p>
    <w:p>
      <w:pPr>
        <w:pStyle w:val="BodyText"/>
        <w:numPr>
          <w:ilvl w:val="0"/>
          <w:numId w:val="2"/>
        </w:numPr>
        <w:tabs>
          <w:tab w:val="clear" w:pos="1134"/>
          <w:tab w:val="left" w:pos="709" w:leader="none"/>
        </w:tabs>
        <w:bidi w:val="0"/>
        <w:spacing w:before="0" w:after="0"/>
        <w:ind w:hanging="283" w:left="709"/>
        <w:jc w:val="left"/>
        <w:rPr/>
      </w:pPr>
      <w:r>
        <w:rPr/>
        <w:t xml:space="preserve">Maintain a </w:t>
      </w:r>
      <w:r>
        <w:rPr>
          <w:rStyle w:val="Strong"/>
        </w:rPr>
        <w:t>secure address directory</w:t>
      </w:r>
      <w:r>
        <w:rPr/>
        <w:t xml:space="preserve"> (customer reference → EOA → proxy → derivation index) in an embedded database. </w:t>
      </w:r>
    </w:p>
    <w:p>
      <w:pPr>
        <w:pStyle w:val="BodyText"/>
        <w:numPr>
          <w:ilvl w:val="0"/>
          <w:numId w:val="2"/>
        </w:numPr>
        <w:tabs>
          <w:tab w:val="clear" w:pos="1134"/>
          <w:tab w:val="left" w:pos="709" w:leader="none"/>
        </w:tabs>
        <w:bidi w:val="0"/>
        <w:spacing w:before="0" w:after="0"/>
        <w:ind w:hanging="283" w:left="709"/>
        <w:jc w:val="left"/>
        <w:rPr/>
      </w:pPr>
      <w:r>
        <w:rPr/>
        <w:t xml:space="preserve">Authenticate every inbound request from the operator with an </w:t>
      </w:r>
      <w:r>
        <w:rPr>
          <w:rStyle w:val="Strong"/>
        </w:rPr>
        <w:t>API key</w:t>
      </w:r>
      <w:r>
        <w:rPr/>
        <w:t xml:space="preserve">. </w:t>
      </w:r>
    </w:p>
    <w:p>
      <w:pPr>
        <w:pStyle w:val="BodyText"/>
        <w:numPr>
          <w:ilvl w:val="0"/>
          <w:numId w:val="2"/>
        </w:numPr>
        <w:tabs>
          <w:tab w:val="clear" w:pos="1134"/>
          <w:tab w:val="left" w:pos="709" w:leader="none"/>
        </w:tabs>
        <w:bidi w:val="0"/>
        <w:ind w:hanging="283" w:left="709"/>
        <w:jc w:val="left"/>
        <w:rPr/>
      </w:pPr>
      <w:r>
        <w:rPr/>
        <w:t xml:space="preserve">Emit </w:t>
      </w:r>
      <w:r>
        <w:rPr>
          <w:rStyle w:val="Strong"/>
        </w:rPr>
        <w:t>structured audit logs</w:t>
      </w:r>
      <w:r>
        <w:rPr/>
        <w:t xml:space="preserve"> for every address creation and signing action. </w:t>
      </w:r>
    </w:p>
    <w:p>
      <w:pPr>
        <w:pStyle w:val="Heading3"/>
        <w:bidi w:val="0"/>
        <w:jc w:val="left"/>
        <w:rPr/>
      </w:pPr>
      <w:r>
        <w:rPr/>
        <w:t>2.2 Non-goals (v1 — stubbed interfaces only)</w:t>
      </w:r>
    </w:p>
    <w:p>
      <w:pPr>
        <w:pStyle w:val="BodyText"/>
        <w:bidi w:val="0"/>
        <w:jc w:val="left"/>
        <w:rPr/>
      </w:pPr>
      <w:r>
        <w:rPr/>
        <w:t>These appear in the product PDF but are explicitly deferred. The spec defines the interface seams so they drop in later without redesign.</w:t>
      </w:r>
    </w:p>
    <w:p>
      <w:pPr>
        <w:pStyle w:val="BodyText"/>
        <w:numPr>
          <w:ilvl w:val="0"/>
          <w:numId w:val="3"/>
        </w:numPr>
        <w:tabs>
          <w:tab w:val="clear" w:pos="1134"/>
          <w:tab w:val="left" w:pos="709" w:leader="none"/>
        </w:tabs>
        <w:bidi w:val="0"/>
        <w:spacing w:before="0" w:after="0"/>
        <w:ind w:hanging="283" w:left="709"/>
        <w:jc w:val="left"/>
        <w:rPr/>
      </w:pPr>
      <w:r>
        <w:rPr>
          <w:rStyle w:val="Strong"/>
        </w:rPr>
        <w:t>On-chain deposit/withdrawal monitoring</w:t>
      </w:r>
      <w:r>
        <w:rPr/>
        <w:t xml:space="preserve"> (Polygon watcher, confirmations, balance tracking). </w:t>
      </w:r>
    </w:p>
    <w:p>
      <w:pPr>
        <w:pStyle w:val="BodyText"/>
        <w:numPr>
          <w:ilvl w:val="0"/>
          <w:numId w:val="3"/>
        </w:numPr>
        <w:tabs>
          <w:tab w:val="clear" w:pos="1134"/>
          <w:tab w:val="left" w:pos="709" w:leader="none"/>
        </w:tabs>
        <w:bidi w:val="0"/>
        <w:spacing w:before="0" w:after="0"/>
        <w:ind w:hanging="283" w:left="709"/>
        <w:jc w:val="left"/>
        <w:rPr/>
      </w:pPr>
      <w:r>
        <w:rPr>
          <w:rStyle w:val="Strong"/>
        </w:rPr>
        <w:t>Per-user</w:t>
      </w:r>
      <w:r>
        <w:rPr/>
        <w:t xml:space="preserve"> </w:t>
      </w:r>
      <w:r>
        <w:rPr>
          <w:rStyle w:val="SourceText"/>
        </w:rPr>
        <w:t>recipientId</w:t>
      </w:r>
      <w:r>
        <w:rPr/>
        <w:t xml:space="preserve"> </w:t>
      </w:r>
      <w:r>
        <w:rPr>
          <w:rStyle w:val="Strong"/>
        </w:rPr>
        <w:t>trading ledger</w:t>
      </w:r>
      <w:r>
        <w:rPr/>
        <w:t xml:space="preserve"> (orders/fills/positions per customer). </w:t>
      </w:r>
    </w:p>
    <w:p>
      <w:pPr>
        <w:pStyle w:val="BodyText"/>
        <w:numPr>
          <w:ilvl w:val="0"/>
          <w:numId w:val="3"/>
        </w:numPr>
        <w:tabs>
          <w:tab w:val="clear" w:pos="1134"/>
          <w:tab w:val="left" w:pos="709" w:leader="none"/>
        </w:tabs>
        <w:bidi w:val="0"/>
        <w:spacing w:before="0" w:after="0"/>
        <w:ind w:hanging="283" w:left="709"/>
        <w:jc w:val="left"/>
        <w:rPr/>
      </w:pPr>
      <w:r>
        <w:rPr>
          <w:rStyle w:val="Strong"/>
        </w:rPr>
        <w:t>WebSocket event streaming</w:t>
      </w:r>
      <w:r>
        <w:rPr/>
        <w:t xml:space="preserve"> to PlaeeOS. </w:t>
      </w:r>
    </w:p>
    <w:p>
      <w:pPr>
        <w:pStyle w:val="BodyText"/>
        <w:numPr>
          <w:ilvl w:val="0"/>
          <w:numId w:val="3"/>
        </w:numPr>
        <w:tabs>
          <w:tab w:val="clear" w:pos="1134"/>
          <w:tab w:val="left" w:pos="709" w:leader="none"/>
        </w:tabs>
        <w:bidi w:val="0"/>
        <w:ind w:hanging="283" w:left="709"/>
        <w:jc w:val="left"/>
        <w:rPr/>
      </w:pPr>
      <w:r>
        <w:rPr>
          <w:rStyle w:val="Strong"/>
        </w:rPr>
        <w:t>Broadcasting</w:t>
      </w:r>
      <w:r>
        <w:rPr/>
        <w:t xml:space="preserve"> any transaction to Polygon. The </w:t>
      </w:r>
      <w:r>
        <w:rPr>
          <w:rStyle w:val="SourceText"/>
        </w:rPr>
        <w:t>dpmw</w:t>
      </w:r>
      <w:r>
        <w:rPr/>
        <w:t xml:space="preserve"> signs; the operator (or Plaee) broadcasts. The single exception discussed for treasury is still sign-only in v1 — the signed hex is returned, not sent. </w:t>
      </w:r>
    </w:p>
    <w:p>
      <w:pPr>
        <w:pStyle w:val="Heading3"/>
        <w:bidi w:val="0"/>
        <w:jc w:val="left"/>
        <w:rPr/>
      </w:pPr>
      <w:r>
        <w:rPr/>
        <w:t>2.3 Explicitly out of scope forever</w:t>
      </w:r>
    </w:p>
    <w:p>
      <w:pPr>
        <w:pStyle w:val="BodyText"/>
        <w:numPr>
          <w:ilvl w:val="0"/>
          <w:numId w:val="4"/>
        </w:numPr>
        <w:tabs>
          <w:tab w:val="clear" w:pos="1134"/>
          <w:tab w:val="left" w:pos="709" w:leader="none"/>
        </w:tabs>
        <w:bidi w:val="0"/>
        <w:spacing w:before="0" w:after="0"/>
        <w:ind w:hanging="283" w:left="709"/>
        <w:jc w:val="left"/>
        <w:rPr/>
      </w:pPr>
      <w:r>
        <w:rPr/>
        <w:t xml:space="preserve">Submitting orders or meta-transactions to Plaee. The </w:t>
      </w:r>
      <w:r>
        <w:rPr>
          <w:rStyle w:val="SourceText"/>
        </w:rPr>
        <w:t>dpmw</w:t>
      </w:r>
      <w:r>
        <w:rPr/>
        <w:t xml:space="preserve"> returns signed artefacts to the operator, who routes them onward. </w:t>
      </w:r>
    </w:p>
    <w:p>
      <w:pPr>
        <w:pStyle w:val="BodyText"/>
        <w:numPr>
          <w:ilvl w:val="0"/>
          <w:numId w:val="4"/>
        </w:numPr>
        <w:tabs>
          <w:tab w:val="clear" w:pos="1134"/>
          <w:tab w:val="left" w:pos="709" w:leader="none"/>
        </w:tabs>
        <w:bidi w:val="0"/>
        <w:ind w:hanging="283" w:left="709"/>
        <w:jc w:val="left"/>
        <w:rPr/>
      </w:pPr>
      <w:r>
        <w:rPr/>
        <w:t xml:space="preserve">Holding or reconciling customer balances. That is the operator's ledger and Plaee's shared-balance DB. </w:t>
      </w:r>
    </w:p>
    <w:p>
      <w:pPr>
        <w:pStyle w:val="HorizontalLine"/>
        <w:bidi w:val="0"/>
        <w:jc w:val="left"/>
        <w:rPr/>
      </w:pPr>
      <w:r>
        <w:rPr/>
      </w:r>
    </w:p>
    <w:p>
      <w:pPr>
        <w:pStyle w:val="Heading2"/>
        <w:bidi w:val="0"/>
        <w:jc w:val="left"/>
        <w:rPr/>
      </w:pPr>
      <w:r>
        <w:rPr/>
        <w:t>3. Confirmed design decisions</w:t>
      </w:r>
    </w:p>
    <w:p>
      <w:pPr>
        <w:pStyle w:val="BodyText"/>
        <w:bidi w:val="0"/>
        <w:jc w:val="left"/>
        <w:rPr/>
      </w:pPr>
      <w:r>
        <w:rPr/>
        <w:t>These were settled with the product owner and are treated as fixed for this spec.</w:t>
      </w:r>
    </w:p>
    <w:tbl>
      <w:tblPr>
        <w:tblW w:w="5000" w:type="pct"/>
        <w:jc w:val="left"/>
        <w:tblInd w:w="45" w:type="dxa"/>
        <w:tblLayout w:type="fixed"/>
        <w:tblCellMar>
          <w:top w:w="45" w:type="dxa"/>
          <w:left w:w="45" w:type="dxa"/>
          <w:bottom w:w="45" w:type="dxa"/>
          <w:right w:w="45" w:type="dxa"/>
        </w:tblCellMar>
      </w:tblPr>
      <w:tblGrid>
        <w:gridCol w:w="240"/>
        <w:gridCol w:w="11099"/>
      </w:tblGrid>
      <w:tr>
        <w:trPr>
          <w:tblHeader w:val="true"/>
        </w:trPr>
        <w:tc>
          <w:tcPr>
            <w:tcW w:w="24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w:t>
            </w:r>
          </w:p>
        </w:tc>
        <w:tc>
          <w:tcPr>
            <w:tcW w:w="1109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Decision</w:t>
            </w:r>
          </w:p>
        </w:tc>
      </w:tr>
      <w:tr>
        <w:trPr/>
        <w:tc>
          <w:tcPr>
            <w:tcW w:w="2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110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The </w:t>
            </w:r>
            <w:r>
              <w:rPr>
                <w:rStyle w:val="SourceText"/>
              </w:rPr>
              <w:t>dpmw</w:t>
            </w:r>
            <w:r>
              <w:rPr/>
              <w:t xml:space="preserve"> is </w:t>
            </w:r>
            <w:r>
              <w:rPr>
                <w:rStyle w:val="Strong"/>
              </w:rPr>
              <w:t>sign-only</w:t>
            </w:r>
            <w:r>
              <w:rPr/>
              <w:t>. It never submits to Plaee.</w:t>
            </w:r>
          </w:p>
        </w:tc>
      </w:tr>
      <w:tr>
        <w:trPr/>
        <w:tc>
          <w:tcPr>
            <w:tcW w:w="2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110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It is </w:t>
            </w:r>
            <w:r>
              <w:rPr>
                <w:rStyle w:val="Strong"/>
              </w:rPr>
              <w:t>built on</w:t>
            </w:r>
            <w:r>
              <w:rPr/>
              <w:t xml:space="preserve"> </w:t>
            </w:r>
            <w:r>
              <w:rPr>
                <w:rStyle w:val="SourceText"/>
              </w:rPr>
              <w:t>dpm-sdk</w:t>
            </w:r>
            <w:r>
              <w:rPr/>
              <w:t>, vendored and compiled inside the image. No re-implementation of encoding/hashing.</w:t>
            </w:r>
          </w:p>
        </w:tc>
      </w:tr>
      <w:tr>
        <w:trPr/>
        <w:tc>
          <w:tcPr>
            <w:tcW w:w="2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110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It has exactly </w:t>
            </w:r>
            <w:r>
              <w:rPr>
                <w:rStyle w:val="Strong"/>
              </w:rPr>
              <w:t>one outbound dependency to Plaee</w:t>
            </w:r>
            <w:r>
              <w:rPr/>
              <w:t xml:space="preserve">: </w:t>
            </w:r>
            <w:r>
              <w:rPr>
                <w:rStyle w:val="SourceText"/>
              </w:rPr>
              <w:t>GET /relay-payload</w:t>
            </w:r>
            <w:r>
              <w:rPr/>
              <w:t xml:space="preserve"> on </w:t>
            </w:r>
            <w:r>
              <w:rPr>
                <w:rStyle w:val="SourceText"/>
              </w:rPr>
              <w:t>relayer-api</w:t>
            </w:r>
            <w:r>
              <w:rPr/>
              <w:t>.</w:t>
            </w:r>
          </w:p>
        </w:tc>
      </w:tr>
      <w:tr>
        <w:trPr/>
        <w:tc>
          <w:tcPr>
            <w:tcW w:w="2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110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trong"/>
              </w:rPr>
              <w:t>v1 scope</w:t>
            </w:r>
            <w:r>
              <w:rPr/>
              <w:t xml:space="preserve"> is address management and signing. Monitoring, ledger, and WebSocket are stub interfaces only.</w:t>
            </w:r>
          </w:p>
        </w:tc>
      </w:tr>
      <w:tr>
        <w:trPr/>
        <w:tc>
          <w:tcPr>
            <w:tcW w:w="2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110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The EIP-712 order </w:t>
            </w:r>
            <w:r>
              <w:rPr>
                <w:rStyle w:val="Strong"/>
              </w:rPr>
              <w:t>domain name is</w:t>
            </w:r>
            <w:r>
              <w:rPr/>
              <w:t xml:space="preserve"> </w:t>
            </w:r>
            <w:r>
              <w:rPr>
                <w:rStyle w:val="SourceText"/>
              </w:rPr>
              <w:t>"DPM CTF Exchange"</w:t>
            </w:r>
            <w:r>
              <w:rPr/>
              <w:t xml:space="preserve"> (a change is required in </w:t>
            </w:r>
            <w:r>
              <w:rPr>
                <w:rStyle w:val="SourceText"/>
              </w:rPr>
              <w:t>dpm-sdk</w:t>
            </w:r>
            <w:r>
              <w:rPr/>
              <w:t xml:space="preserve">; see </w:t>
            </w:r>
            <w:hyperlink w:anchor="7-dpm-sdk-integration-and-required-chang">
              <w:r>
                <w:rPr>
                  <w:rStyle w:val="Hyperlink"/>
                </w:rPr>
                <w:t>Section 7</w:t>
              </w:r>
            </w:hyperlink>
            <w:r>
              <w:rPr/>
              <w:t>).</w:t>
            </w:r>
          </w:p>
        </w:tc>
      </w:tr>
      <w:tr>
        <w:trPr/>
        <w:tc>
          <w:tcPr>
            <w:tcW w:w="2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1109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Orders carry an </w:t>
            </w:r>
            <w:r>
              <w:rPr>
                <w:rStyle w:val="Strong"/>
              </w:rPr>
              <w:t>optional</w:t>
            </w:r>
            <w:r>
              <w:rPr/>
              <w:t xml:space="preserve"> </w:t>
            </w:r>
            <w:r>
              <w:rPr>
                <w:rStyle w:val="SourceText"/>
              </w:rPr>
              <w:t>recipient</w:t>
            </w:r>
            <w:r>
              <w:rPr/>
              <w:t xml:space="preserve"> </w:t>
            </w:r>
            <w:r>
              <w:rPr>
                <w:rStyle w:val="Strong"/>
              </w:rPr>
              <w:t>address</w:t>
            </w:r>
            <w:r>
              <w:rPr/>
              <w:t xml:space="preserve">, not an identifier. If omitted (or zero), the exchange pays the </w:t>
            </w:r>
            <w:r>
              <w:rPr>
                <w:rStyle w:val="Strong"/>
              </w:rPr>
              <w:t>maker</w:t>
            </w:r>
            <w:r>
              <w:rPr/>
              <w:t xml:space="preserve">. When supplied, it is </w:t>
            </w:r>
            <w:r>
              <w:rPr>
                <w:rStyle w:val="Strong"/>
              </w:rPr>
              <w:t>constrained</w:t>
            </w:r>
            <w:r>
              <w:rPr/>
              <w:t xml:space="preserve"> to the </w:t>
            </w:r>
            <w:r>
              <w:rPr>
                <w:rStyle w:val="Strong"/>
              </w:rPr>
              <w:t>operational wallet</w:t>
            </w:r>
            <w:r>
              <w:rPr/>
              <w:t xml:space="preserve"> or one of the operator's </w:t>
            </w:r>
            <w:r>
              <w:rPr>
                <w:rStyle w:val="Strong"/>
              </w:rPr>
              <w:t>customer wallets</w:t>
            </w:r>
            <w:r>
              <w:rPr/>
              <w:t xml:space="preserve"> known to the </w:t>
            </w:r>
            <w:r>
              <w:rPr>
                <w:rStyle w:val="SourceText"/>
              </w:rPr>
              <w:t>dpmw</w:t>
            </w:r>
            <w:r>
              <w:rPr/>
              <w:t xml:space="preserve"> — never an arbitrary external address.</w:t>
            </w:r>
          </w:p>
        </w:tc>
      </w:tr>
      <w:tr>
        <w:trPr/>
        <w:tc>
          <w:tcPr>
            <w:tcW w:w="24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7</w:t>
            </w:r>
          </w:p>
        </w:tc>
        <w:tc>
          <w:tcPr>
            <w:tcW w:w="1109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trong"/>
              </w:rPr>
              <w:t>Address creation precedes DPM registration.</w:t>
            </w:r>
            <w:r>
              <w:rPr/>
              <w:t xml:space="preserve"> The </w:t>
            </w:r>
            <w:r>
              <w:rPr>
                <w:rStyle w:val="SourceText"/>
              </w:rPr>
              <w:t>dpmw</w:t>
            </w:r>
            <w:r>
              <w:rPr/>
              <w:t xml:space="preserve"> mints the address; the operator sends it to Plaee; Plaee persists it in the DPM database.</w:t>
            </w:r>
          </w:p>
        </w:tc>
      </w:tr>
    </w:tbl>
    <w:p>
      <w:pPr>
        <w:pStyle w:val="HorizontalLine"/>
        <w:bidi w:val="0"/>
        <w:jc w:val="left"/>
        <w:rPr/>
      </w:pPr>
      <w:r>
        <w:rPr/>
      </w:r>
    </w:p>
    <w:p>
      <w:pPr>
        <w:pStyle w:val="Heading2"/>
        <w:bidi w:val="0"/>
        <w:jc w:val="left"/>
        <w:rPr/>
      </w:pPr>
      <w:r>
        <w:rPr/>
        <w:t>4. Roles and responsibilities</w:t>
      </w:r>
    </w:p>
    <w:p>
      <w:pPr>
        <w:pStyle w:val="BodyText"/>
        <w:bidi w:val="0"/>
        <w:jc w:val="left"/>
        <w:rPr/>
      </w:pPr>
      <w:r>
        <w:rPr/>
        <w:drawing>
          <wp:inline distT="0" distB="0" distL="0" distR="0">
            <wp:extent cx="6096000" cy="381000"/>
            <wp:effectExtent l="0" t="0" r="0" b="0"/>
            <wp:docPr id="1" name="Image1" descr="Roles and request routing between customer, Plaee, operator gateway, and the DPM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Roles and request routing between customer, Plaee, operator gateway, and the DPM Wallet"/>
                    <pic:cNvPicPr>
                      <a:picLocks noChangeAspect="1" noChangeArrowheads="1"/>
                    </pic:cNvPicPr>
                  </pic:nvPicPr>
                  <pic:blipFill>
                    <a:blip r:embed="rId2"/>
                    <a:stretch>
                      <a:fillRect/>
                    </a:stretch>
                  </pic:blipFill>
                  <pic:spPr bwMode="auto">
                    <a:xfrm>
                      <a:off x="0" y="0"/>
                      <a:ext cx="6096000" cy="381000"/>
                    </a:xfrm>
                    <a:prstGeom prst="rect">
                      <a:avLst/>
                    </a:prstGeom>
                    <a:noFill/>
                  </pic:spPr>
                </pic:pic>
              </a:graphicData>
            </a:graphic>
          </wp:inline>
        </w:drawing>
      </w:r>
    </w:p>
    <w:tbl>
      <w:tblPr>
        <w:tblW w:w="5000" w:type="pct"/>
        <w:jc w:val="left"/>
        <w:tblInd w:w="45" w:type="dxa"/>
        <w:tblLayout w:type="fixed"/>
        <w:tblCellMar>
          <w:top w:w="45" w:type="dxa"/>
          <w:left w:w="45" w:type="dxa"/>
          <w:bottom w:w="45" w:type="dxa"/>
          <w:right w:w="45" w:type="dxa"/>
        </w:tblCellMar>
      </w:tblPr>
      <w:tblGrid>
        <w:gridCol w:w="1603"/>
        <w:gridCol w:w="9736"/>
      </w:tblGrid>
      <w:tr>
        <w:trPr>
          <w:tblHeader w:val="true"/>
        </w:trPr>
        <w:tc>
          <w:tcPr>
            <w:tcW w:w="160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Entity</w:t>
            </w:r>
          </w:p>
        </w:tc>
        <w:tc>
          <w:tcPr>
            <w:tcW w:w="973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Owns</w:t>
            </w:r>
          </w:p>
        </w:tc>
      </w:tr>
      <w:tr>
        <w:trPr/>
        <w:tc>
          <w:tcPr>
            <w:tcW w:w="160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Plaee / Plaee DPM</w:t>
            </w:r>
          </w:p>
        </w:tc>
        <w:tc>
          <w:tcPr>
            <w:tcW w:w="9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The CLOB and matching engine, on-chain settlement, market/CTF operations, </w:t>
            </w:r>
            <w:r>
              <w:rPr>
                <w:rStyle w:val="SourceText"/>
              </w:rPr>
              <w:t>recipientId</w:t>
            </w:r>
            <w:r>
              <w:rPr/>
              <w:t xml:space="preserve"> generation, event streaming, and the </w:t>
            </w:r>
            <w:r>
              <w:rPr>
                <w:rStyle w:val="SourceText"/>
              </w:rPr>
              <w:t>relayer-api</w:t>
            </w:r>
            <w:r>
              <w:rPr/>
              <w:t xml:space="preserve"> that broadcasts meta-transactions.</w:t>
            </w:r>
          </w:p>
        </w:tc>
      </w:tr>
      <w:tr>
        <w:trPr/>
        <w:tc>
          <w:tcPr>
            <w:tcW w:w="160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Operator DPM Gateway</w:t>
            </w:r>
          </w:p>
        </w:tc>
        <w:tc>
          <w:tcPr>
            <w:tcW w:w="97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Orchestration middleware. The only caller into the </w:t>
            </w:r>
            <w:r>
              <w:rPr>
                <w:rStyle w:val="SourceText"/>
              </w:rPr>
              <w:t>dpmw</w:t>
            </w:r>
            <w:r>
              <w:rPr/>
              <w:t xml:space="preserve">. Enforces its own API key with Plaee, applies business rules (trade holds, balance updates), and routes signed payloads from the </w:t>
            </w:r>
            <w:r>
              <w:rPr>
                <w:rStyle w:val="SourceText"/>
              </w:rPr>
              <w:t>dpmw</w:t>
            </w:r>
            <w:r>
              <w:rPr/>
              <w:t xml:space="preserve"> onward to Plaee.</w:t>
            </w:r>
          </w:p>
        </w:tc>
      </w:tr>
      <w:tr>
        <w:trPr/>
        <w:tc>
          <w:tcPr>
            <w:tcW w:w="160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trong"/>
              </w:rPr>
              <w:t>DPM Wallet (</w:t>
            </w:r>
            <w:r>
              <w:rPr>
                <w:rStyle w:val="SourceText"/>
              </w:rPr>
              <w:t>dpmw</w:t>
            </w:r>
            <w:r>
              <w:rPr>
                <w:rStyle w:val="Strong"/>
              </w:rPr>
              <w:t>)</w:t>
            </w:r>
          </w:p>
        </w:tc>
        <w:tc>
          <w:tcPr>
            <w:tcW w:w="973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Address lifecycle and signing. Holds keys (mnemonic mode) or delegates to Turnkey. Nothing else.</w:t>
            </w:r>
          </w:p>
        </w:tc>
      </w:tr>
    </w:tbl>
    <w:p>
      <w:pPr>
        <w:pStyle w:val="BodyText"/>
        <w:bidi w:val="0"/>
        <w:jc w:val="left"/>
        <w:rPr/>
      </w:pPr>
      <w:r>
        <w:rPr/>
        <w:t xml:space="preserve">The </w:t>
      </w:r>
      <w:r>
        <w:rPr>
          <w:rStyle w:val="SourceText"/>
        </w:rPr>
        <w:t>dpmw</w:t>
      </w:r>
      <w:r>
        <w:rPr/>
        <w:t>'s world is deliberately small: it receives a request from the gateway, does key work or signing, and returns an artefact to the gateway.</w:t>
      </w:r>
    </w:p>
    <w:p>
      <w:pPr>
        <w:pStyle w:val="BlockQuotation"/>
        <w:bidi w:val="0"/>
        <w:jc w:val="left"/>
        <w:rPr/>
      </w:pPr>
      <w:r>
        <w:rPr>
          <w:rStyle w:val="Strong"/>
        </w:rPr>
        <w:t xml:space="preserve">Trading ledger and event streaming are not </w:t>
      </w:r>
      <w:r>
        <w:rPr>
          <w:rStyle w:val="SourceText"/>
        </w:rPr>
        <w:t>dpmw</w:t>
      </w:r>
      <w:r>
        <w:rPr>
          <w:rStyle w:val="Strong"/>
        </w:rPr>
        <w:t xml:space="preserve"> concerns.</w:t>
      </w:r>
      <w:r>
        <w:rPr/>
        <w:t xml:space="preserve"> Per-customer positions/fills and order/trade event streaming are owned by </w:t>
      </w:r>
      <w:r>
        <w:rPr>
          <w:rStyle w:val="Strong"/>
        </w:rPr>
        <w:t>Plaee / PlaeeOS</w:t>
      </w:r>
      <w:r>
        <w:rPr/>
        <w:t xml:space="preserve"> (see the responsibility matrix in the product PDF). The operator sends trading activity to Plaee directly; the </w:t>
      </w:r>
      <w:r>
        <w:rPr>
          <w:rStyle w:val="SourceText"/>
        </w:rPr>
        <w:t>dpmw</w:t>
      </w:r>
      <w:r>
        <w:rPr/>
        <w:t xml:space="preserve"> only signs. The one Phase-2 interface the </w:t>
      </w:r>
      <w:r>
        <w:rPr>
          <w:rStyle w:val="SourceText"/>
        </w:rPr>
        <w:t>dpmw</w:t>
      </w:r>
      <w:r>
        <w:rPr/>
        <w:t xml:space="preserve"> does own is </w:t>
      </w:r>
      <w:r>
        <w:rPr>
          <w:rStyle w:val="SourceText"/>
        </w:rPr>
        <w:t>ChainMonitor</w:t>
      </w:r>
      <w:r>
        <w:rPr/>
        <w:t xml:space="preserve"> (see </w:t>
      </w:r>
      <w:hyperlink w:anchor="13-phase-2-stub-interfaces">
        <w:r>
          <w:rPr>
            <w:rStyle w:val="Hyperlink"/>
          </w:rPr>
          <w:t>Section 13</w:t>
        </w:r>
      </w:hyperlink>
      <w:r>
        <w:rPr/>
        <w:t xml:space="preserve">), because it watches the </w:t>
      </w:r>
      <w:r>
        <w:rPr>
          <w:rStyle w:val="SourceText"/>
        </w:rPr>
        <w:t>dpmw</w:t>
      </w:r>
      <w:r>
        <w:rPr/>
        <w:t>'s own on-chain addresses and needs no Plaee data.</w:t>
      </w:r>
    </w:p>
    <w:p>
      <w:pPr>
        <w:pStyle w:val="HorizontalLine"/>
        <w:bidi w:val="0"/>
        <w:jc w:val="left"/>
        <w:rPr/>
      </w:pPr>
      <w:r>
        <w:rPr/>
      </w:r>
    </w:p>
    <w:p>
      <w:pPr>
        <w:pStyle w:val="Heading2"/>
        <w:bidi w:val="0"/>
        <w:jc w:val="left"/>
        <w:rPr/>
      </w:pPr>
      <w:r>
        <w:rPr/>
        <w:t>5. Trust boundary and outbound dependencies</w:t>
      </w:r>
    </w:p>
    <w:p>
      <w:pPr>
        <w:pStyle w:val="BodyText"/>
        <w:bidi w:val="0"/>
        <w:jc w:val="left"/>
        <w:rPr/>
      </w:pPr>
      <w:r>
        <w:rPr/>
        <w:t xml:space="preserve">The container is designed to have </w:t>
      </w:r>
      <w:r>
        <w:rPr>
          <w:rStyle w:val="Strong"/>
        </w:rPr>
        <w:t>near-zero egress to Plaee</w:t>
      </w:r>
      <w:r>
        <w:rPr/>
        <w:t xml:space="preserve">. Everything the </w:t>
      </w:r>
      <w:r>
        <w:rPr>
          <w:rStyle w:val="SourceText"/>
        </w:rPr>
        <w:t>dpmw</w:t>
      </w:r>
      <w:r>
        <w:rPr/>
        <w:t xml:space="preserve"> needs to build a signature is either supplied in the request or configured as an environment variable:</w:t>
      </w:r>
    </w:p>
    <w:p>
      <w:pPr>
        <w:pStyle w:val="BodyText"/>
        <w:numPr>
          <w:ilvl w:val="0"/>
          <w:numId w:val="5"/>
        </w:numPr>
        <w:tabs>
          <w:tab w:val="clear" w:pos="1134"/>
          <w:tab w:val="left" w:pos="709" w:leader="none"/>
        </w:tabs>
        <w:bidi w:val="0"/>
        <w:spacing w:before="0" w:after="0"/>
        <w:ind w:hanging="283" w:left="709"/>
        <w:jc w:val="left"/>
        <w:rPr/>
      </w:pPr>
      <w:r>
        <w:rPr/>
        <w:t>Contract addresses (</w:t>
      </w:r>
      <w:r>
        <w:rPr>
          <w:rStyle w:val="SourceText"/>
        </w:rPr>
        <w:t>collateral</w:t>
      </w:r>
      <w:r>
        <w:rPr/>
        <w:t xml:space="preserve">, </w:t>
      </w:r>
      <w:r>
        <w:rPr>
          <w:rStyle w:val="SourceText"/>
        </w:rPr>
        <w:t>ctf</w:t>
      </w:r>
      <w:r>
        <w:rPr/>
        <w:t xml:space="preserve">, </w:t>
      </w:r>
      <w:r>
        <w:rPr>
          <w:rStyle w:val="SourceText"/>
        </w:rPr>
        <w:t>ctfExchange</w:t>
      </w:r>
      <w:r>
        <w:rPr/>
        <w:t xml:space="preserve">, </w:t>
      </w:r>
      <w:r>
        <w:rPr>
          <w:rStyle w:val="SourceText"/>
        </w:rPr>
        <w:t>proxyFactory</w:t>
      </w:r>
      <w:r>
        <w:rPr/>
        <w:t xml:space="preserve">, </w:t>
      </w:r>
      <w:r>
        <w:rPr>
          <w:rStyle w:val="SourceText"/>
        </w:rPr>
        <w:t>relayHub</w:t>
      </w:r>
      <w:r>
        <w:rPr/>
        <w:t xml:space="preserve">), chain ID, and the exchange address all come from </w:t>
      </w:r>
      <w:r>
        <w:rPr>
          <w:rStyle w:val="Strong"/>
        </w:rPr>
        <w:t>config</w:t>
      </w:r>
      <w:r>
        <w:rPr/>
        <w:t xml:space="preserve">, replacing what would otherwise be a </w:t>
      </w:r>
      <w:r>
        <w:rPr>
          <w:rStyle w:val="SourceText"/>
        </w:rPr>
        <w:t>GET /contract-info</w:t>
      </w:r>
      <w:r>
        <w:rPr/>
        <w:t xml:space="preserve"> call. </w:t>
      </w:r>
    </w:p>
    <w:p>
      <w:pPr>
        <w:pStyle w:val="BodyText"/>
        <w:numPr>
          <w:ilvl w:val="0"/>
          <w:numId w:val="5"/>
        </w:numPr>
        <w:tabs>
          <w:tab w:val="clear" w:pos="1134"/>
          <w:tab w:val="left" w:pos="709" w:leader="none"/>
        </w:tabs>
        <w:bidi w:val="0"/>
        <w:ind w:hanging="283" w:left="709"/>
        <w:jc w:val="left"/>
        <w:rPr/>
      </w:pPr>
      <w:r>
        <w:rPr/>
        <w:t xml:space="preserve">The one unavoidable network read is </w:t>
      </w:r>
      <w:r>
        <w:rPr>
          <w:rStyle w:val="SourceText"/>
        </w:rPr>
        <w:t>GET /relay-payload</w:t>
      </w:r>
      <w:r>
        <w:rPr/>
        <w:t xml:space="preserve"> on </w:t>
      </w:r>
      <w:r>
        <w:rPr>
          <w:rStyle w:val="SourceText"/>
        </w:rPr>
        <w:t>relayer-api</w:t>
      </w:r>
      <w:r>
        <w:rPr/>
        <w:t xml:space="preserve">, which returns the </w:t>
      </w:r>
      <w:r>
        <w:rPr>
          <w:rStyle w:val="Strong"/>
        </w:rPr>
        <w:t>relayer admin address</w:t>
      </w:r>
      <w:r>
        <w:rPr/>
        <w:t xml:space="preserve"> and the </w:t>
      </w:r>
      <w:r>
        <w:rPr>
          <w:rStyle w:val="Strong"/>
        </w:rPr>
        <w:t>RelayHub nonce</w:t>
      </w:r>
      <w:r>
        <w:rPr/>
        <w:t xml:space="preserve"> for a given EOA. These cannot be known ahead of time (the nonce is stateful and lives in the DPM </w:t>
      </w:r>
      <w:r>
        <w:rPr>
          <w:rStyle w:val="SourceText"/>
        </w:rPr>
        <w:t>users</w:t>
      </w:r>
      <w:r>
        <w:rPr/>
        <w:t xml:space="preserve"> table), so they must be fetched at signing time. </w:t>
      </w:r>
    </w:p>
    <w:p>
      <w:pPr>
        <w:pStyle w:val="BodyText"/>
        <w:bidi w:val="0"/>
        <w:jc w:val="left"/>
        <w:rPr/>
      </w:pPr>
      <w:r>
        <w:rPr/>
        <w:drawing>
          <wp:inline distT="0" distB="0" distL="0" distR="0">
            <wp:extent cx="6096000" cy="5991225"/>
            <wp:effectExtent l="0" t="0" r="0" b="0"/>
            <wp:docPr id="2" name="Image2" descr="Trust boundary: the DPM Wallet's only outbound Plaee dependency is the read-only relay-payload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rust boundary: the DPM Wallet's only outbound Plaee dependency is the read-only relay-payload call"/>
                    <pic:cNvPicPr>
                      <a:picLocks noChangeAspect="1" noChangeArrowheads="1"/>
                    </pic:cNvPicPr>
                  </pic:nvPicPr>
                  <pic:blipFill>
                    <a:blip r:embed="rId3"/>
                    <a:stretch>
                      <a:fillRect/>
                    </a:stretch>
                  </pic:blipFill>
                  <pic:spPr bwMode="auto">
                    <a:xfrm>
                      <a:off x="0" y="0"/>
                      <a:ext cx="6096000" cy="5991225"/>
                    </a:xfrm>
                    <a:prstGeom prst="rect">
                      <a:avLst/>
                    </a:prstGeom>
                    <a:noFill/>
                  </pic:spPr>
                </pic:pic>
              </a:graphicData>
            </a:graphic>
          </wp:inline>
        </w:drawing>
      </w:r>
    </w:p>
    <w:p>
      <w:pPr>
        <w:pStyle w:val="BodyText"/>
        <w:bidi w:val="0"/>
        <w:jc w:val="left"/>
        <w:rPr/>
      </w:pPr>
      <w:r>
        <w:rPr>
          <w:rStyle w:val="SourceText"/>
        </w:rPr>
        <w:t>GET /relay-payload</w:t>
      </w:r>
      <w:r>
        <w:rPr/>
        <w:t xml:space="preserve"> is registered above </w:t>
      </w:r>
      <w:r>
        <w:rPr>
          <w:rStyle w:val="SourceText"/>
        </w:rPr>
        <w:t>relayer-api</w:t>
      </w:r>
      <w:r>
        <w:rPr/>
        <w:t xml:space="preserve">'s authenticated route group, so it requires only the service-level </w:t>
      </w:r>
      <w:r>
        <w:rPr>
          <w:rStyle w:val="SourceText"/>
        </w:rPr>
        <w:t>X-API-Key</w:t>
      </w:r>
      <w:r>
        <w:rPr/>
        <w:t xml:space="preserve"> header — not a JWT or the </w:t>
      </w:r>
      <w:r>
        <w:rPr>
          <w:rStyle w:val="SourceText"/>
        </w:rPr>
        <w:t>poly_*</w:t>
      </w:r>
      <w:r>
        <w:rPr/>
        <w:t xml:space="preserve"> builder HMAC. The </w:t>
      </w:r>
      <w:r>
        <w:rPr>
          <w:rStyle w:val="SourceText"/>
        </w:rPr>
        <w:t>dpmw</w:t>
      </w:r>
      <w:r>
        <w:rPr/>
        <w:t xml:space="preserve"> supplies that header by injecting a </w:t>
      </w:r>
      <w:r>
        <w:rPr>
          <w:rStyle w:val="SourceText"/>
        </w:rPr>
        <w:t>fetchImpl</w:t>
      </w:r>
      <w:r>
        <w:rPr/>
        <w:t xml:space="preserve"> into the SDK's </w:t>
      </w:r>
      <w:r>
        <w:rPr>
          <w:rStyle w:val="SourceText"/>
        </w:rPr>
        <w:t>getRelayPayload</w:t>
      </w:r>
      <w:r>
        <w:rPr/>
        <w:t xml:space="preserve"> (see </w:t>
      </w:r>
      <w:hyperlink w:anchor="74-injecting-x-api-key-without-an-sdk-ch">
        <w:r>
          <w:rPr>
            <w:rStyle w:val="Hyperlink"/>
          </w:rPr>
          <w:t>Section 7.4</w:t>
        </w:r>
      </w:hyperlink>
      <w:r>
        <w:rPr/>
        <w:t>).</w:t>
      </w:r>
    </w:p>
    <w:p>
      <w:pPr>
        <w:pStyle w:val="HorizontalLine"/>
        <w:bidi w:val="0"/>
        <w:jc w:val="left"/>
        <w:rPr/>
      </w:pPr>
      <w:r>
        <w:rPr/>
      </w:r>
    </w:p>
    <w:p>
      <w:pPr>
        <w:pStyle w:val="Heading2"/>
        <w:bidi w:val="0"/>
        <w:jc w:val="left"/>
        <w:rPr/>
      </w:pPr>
      <w:r>
        <w:rPr/>
        <w:t>6. Architecture</w:t>
      </w:r>
    </w:p>
    <w:p>
      <w:pPr>
        <w:pStyle w:val="Heading3"/>
        <w:bidi w:val="0"/>
        <w:jc w:val="left"/>
        <w:rPr/>
      </w:pPr>
      <w:r>
        <w:rPr/>
        <w:t>6.1 Layered view</w:t>
      </w:r>
    </w:p>
    <w:p>
      <w:pPr>
        <w:pStyle w:val="BodyText"/>
        <w:bidi w:val="0"/>
        <w:jc w:val="left"/>
        <w:rPr/>
      </w:pPr>
      <w:r>
        <w:rPr/>
        <w:drawing>
          <wp:inline distT="0" distB="0" distL="0" distR="0">
            <wp:extent cx="6096000" cy="4076700"/>
            <wp:effectExtent l="0" t="0" r="0" b="0"/>
            <wp:docPr id="3" name="Image3" descr="Layered view of the DPM Wallet: HTTP, service, SDK wiring, vault, data, and observability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Layered view of the DPM Wallet: HTTP, service, SDK wiring, vault, data, and observability layers"/>
                    <pic:cNvPicPr>
                      <a:picLocks noChangeAspect="1" noChangeArrowheads="1"/>
                    </pic:cNvPicPr>
                  </pic:nvPicPr>
                  <pic:blipFill>
                    <a:blip r:embed="rId4"/>
                    <a:stretch>
                      <a:fillRect/>
                    </a:stretch>
                  </pic:blipFill>
                  <pic:spPr bwMode="auto">
                    <a:xfrm>
                      <a:off x="0" y="0"/>
                      <a:ext cx="6096000" cy="4076700"/>
                    </a:xfrm>
                    <a:prstGeom prst="rect">
                      <a:avLst/>
                    </a:prstGeom>
                    <a:noFill/>
                  </pic:spPr>
                </pic:pic>
              </a:graphicData>
            </a:graphic>
          </wp:inline>
        </w:drawing>
      </w:r>
    </w:p>
    <w:p>
      <w:pPr>
        <w:pStyle w:val="BodyText"/>
        <w:bidi w:val="0"/>
        <w:jc w:val="left"/>
        <w:rPr/>
      </w:pPr>
      <w:r>
        <w:rPr/>
        <w:t>A request flows top-down: the HTTP layer validates and authenticates, a service orchestrates the steps, the SDK wiring produces the signature via the vault, and the data layer records what happened.</w:t>
      </w:r>
    </w:p>
    <w:p>
      <w:pPr>
        <w:pStyle w:val="Heading3"/>
        <w:bidi w:val="0"/>
        <w:jc w:val="left"/>
        <w:rPr/>
      </w:pPr>
      <w:r>
        <w:rPr/>
        <w:t xml:space="preserve">6.2 The </w:t>
      </w:r>
      <w:r>
        <w:rPr>
          <w:rStyle w:val="SourceText"/>
        </w:rPr>
        <w:t>KeyVault</w:t>
      </w:r>
      <w:r>
        <w:rPr/>
        <w:t xml:space="preserve"> port</w:t>
      </w:r>
    </w:p>
    <w:p>
      <w:pPr>
        <w:pStyle w:val="BodyText"/>
        <w:bidi w:val="0"/>
        <w:jc w:val="left"/>
        <w:rPr/>
      </w:pPr>
      <w:r>
        <w:rPr>
          <w:rStyle w:val="SourceText"/>
        </w:rPr>
        <w:t>KeyVault</w:t>
      </w:r>
      <w:r>
        <w:rPr/>
        <w:t xml:space="preserve"> is the single seam every custody mode implements. No service code above it knows whether a key is local or in a TEE.</w:t>
      </w:r>
    </w:p>
    <w:p>
      <w:pPr>
        <w:pStyle w:val="PreformattedText"/>
        <w:bidi w:val="0"/>
        <w:jc w:val="left"/>
        <w:rPr/>
      </w:pPr>
      <w:r>
        <w:rPr>
          <w:rStyle w:val="SourceText"/>
        </w:rPr>
        <w:t>export type VaultMode = "mnemonic" | "turnkey";</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 Where the master wallet's key lives. "internal" = derived/held by this vault</w:t>
      </w:r>
    </w:p>
    <w:p>
      <w:pPr>
        <w:pStyle w:val="PreformattedText"/>
        <w:bidi w:val="0"/>
        <w:jc w:val="left"/>
        <w:rPr/>
      </w:pPr>
      <w:r>
        <w:rPr>
          <w:rStyle w:val="SourceText"/>
        </w:rPr>
        <w:t xml:space="preserve"> </w:t>
      </w:r>
      <w:r>
        <w:rPr>
          <w:rStyle w:val="SourceText"/>
        </w:rPr>
        <w:t>* (mnemonic index 0, or a Turnkey account). "external" = held by a third-party</w:t>
      </w:r>
    </w:p>
    <w:p>
      <w:pPr>
        <w:pStyle w:val="PreformattedText"/>
        <w:bidi w:val="0"/>
        <w:jc w:val="left"/>
        <w:rPr/>
      </w:pPr>
      <w:r>
        <w:rPr>
          <w:rStyle w:val="SourceText"/>
        </w:rPr>
        <w:t xml:space="preserve"> </w:t>
      </w:r>
      <w:r>
        <w:rPr>
          <w:rStyle w:val="SourceText"/>
        </w:rPr>
        <w:t>* custody (Fireblocks, Qredo, MetaMask, …); the dpmw knows only its address and</w:t>
      </w:r>
    </w:p>
    <w:p>
      <w:pPr>
        <w:pStyle w:val="PreformattedText"/>
        <w:bidi w:val="0"/>
        <w:jc w:val="left"/>
        <w:rPr/>
      </w:pPr>
      <w:r>
        <w:rPr>
          <w:rStyle w:val="SourceText"/>
        </w:rPr>
        <w:t xml:space="preserve"> </w:t>
      </w:r>
      <w:r>
        <w:rPr>
          <w:rStyle w:val="SourceText"/>
        </w:rPr>
        <w:t>* cannot sign for it. See Section 6.6.</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export type MasterLocation = "internal" | "external";</w:t>
      </w:r>
    </w:p>
    <w:p>
      <w:pPr>
        <w:pStyle w:val="PreformattedText"/>
        <w:bidi w:val="0"/>
        <w:jc w:val="left"/>
        <w:rPr/>
      </w:pPr>
      <w:r>
        <w:rPr/>
      </w:r>
    </w:p>
    <w:p>
      <w:pPr>
        <w:pStyle w:val="PreformattedText"/>
        <w:bidi w:val="0"/>
        <w:jc w:val="left"/>
        <w:rPr/>
      </w:pPr>
      <w:r>
        <w:rPr>
          <w:rStyle w:val="SourceText"/>
        </w:rPr>
        <w:t>export interface MasterInfo {</w:t>
      </w:r>
    </w:p>
    <w:p>
      <w:pPr>
        <w:pStyle w:val="PreformattedText"/>
        <w:bidi w:val="0"/>
        <w:jc w:val="left"/>
        <w:rPr/>
      </w:pPr>
      <w:r>
        <w:rPr>
          <w:rStyle w:val="SourceText"/>
        </w:rPr>
        <w:t xml:space="preserve">  </w:t>
      </w:r>
      <w:r>
        <w:rPr>
          <w:rStyle w:val="SourceText"/>
        </w:rPr>
        <w:t>address: Address;</w:t>
      </w:r>
    </w:p>
    <w:p>
      <w:pPr>
        <w:pStyle w:val="PreformattedText"/>
        <w:bidi w:val="0"/>
        <w:jc w:val="left"/>
        <w:rPr/>
      </w:pPr>
      <w:r>
        <w:rPr>
          <w:rStyle w:val="SourceText"/>
        </w:rPr>
        <w:t xml:space="preserve">  </w:t>
      </w:r>
      <w:r>
        <w:rPr>
          <w:rStyle w:val="SourceText"/>
        </w:rPr>
        <w:t>location: MasterLocation;</w:t>
      </w:r>
    </w:p>
    <w:p>
      <w:pPr>
        <w:pStyle w:val="PreformattedText"/>
        <w:bidi w:val="0"/>
        <w:jc w:val="left"/>
        <w:rPr/>
      </w:pPr>
      <w:r>
        <w:rPr>
          <w:rStyle w:val="SourceText"/>
        </w:rPr>
        <w:t xml:space="preserve">  </w:t>
      </w:r>
      <w:r>
        <w:rPr>
          <w:rStyle w:val="SourceText"/>
        </w:rPr>
        <w:t>/** Present only when location === "internal". */</w:t>
      </w:r>
    </w:p>
    <w:p>
      <w:pPr>
        <w:pStyle w:val="PreformattedText"/>
        <w:bidi w:val="0"/>
        <w:jc w:val="left"/>
        <w:rPr/>
      </w:pPr>
      <w:r>
        <w:rPr>
          <w:rStyle w:val="SourceText"/>
        </w:rPr>
        <w:t xml:space="preserve">  </w:t>
      </w:r>
      <w:r>
        <w:rPr>
          <w:rStyle w:val="SourceText"/>
        </w:rPr>
        <w:t>index?: 0;</w:t>
      </w:r>
    </w:p>
    <w:p>
      <w:pPr>
        <w:pStyle w:val="PreformattedText"/>
        <w:bidi w:val="0"/>
        <w:jc w:val="left"/>
        <w:rPr/>
      </w:pPr>
      <w:r>
        <w:rPr>
          <w:rStyle w:val="SourceText"/>
        </w:rPr>
        <w:t xml:space="preserve">  </w:t>
      </w:r>
      <w:r>
        <w:rPr>
          <w:rStyle w:val="SourceText"/>
        </w:rPr>
        <w:t>/** For location === "external": the custody provider label (e.g. "fireblocks"). */</w:t>
      </w:r>
    </w:p>
    <w:p>
      <w:pPr>
        <w:pStyle w:val="PreformattedText"/>
        <w:bidi w:val="0"/>
        <w:jc w:val="left"/>
        <w:rPr/>
      </w:pPr>
      <w:r>
        <w:rPr>
          <w:rStyle w:val="SourceText"/>
        </w:rPr>
        <w:t xml:space="preserve">  </w:t>
      </w:r>
      <w:r>
        <w:rPr>
          <w:rStyle w:val="SourceText"/>
        </w:rPr>
        <w:t>custodian?: string;</w:t>
      </w:r>
    </w:p>
    <w:p>
      <w:pPr>
        <w:pStyle w:val="PreformattedText"/>
        <w:bidi w:val="0"/>
        <w:jc w:val="left"/>
        <w:rPr/>
      </w:pPr>
      <w:r>
        <w:rPr>
          <w:rStyle w:val="SourceText"/>
        </w:rPr>
        <w:t xml:space="preserve">  </w:t>
      </w:r>
      <w:r>
        <w:rPr>
          <w:rStyle w:val="SourceText"/>
        </w:rPr>
        <w:t>/** Whether this vault can produce signatures for the master address. */</w:t>
      </w:r>
    </w:p>
    <w:p>
      <w:pPr>
        <w:pStyle w:val="PreformattedText"/>
        <w:bidi w:val="0"/>
        <w:jc w:val="left"/>
        <w:rPr/>
      </w:pPr>
      <w:r>
        <w:rPr>
          <w:rStyle w:val="SourceText"/>
        </w:rPr>
        <w:t xml:space="preserve">  </w:t>
      </w:r>
      <w:r>
        <w:rPr>
          <w:rStyle w:val="SourceText"/>
        </w:rPr>
        <w:t>signable: boolean;</w:t>
      </w:r>
    </w:p>
    <w:p>
      <w:pPr>
        <w:pStyle w:val="PreformattedText"/>
        <w:bidi w:val="0"/>
        <w:jc w:val="left"/>
        <w:rPr/>
      </w:pPr>
      <w:r>
        <w:rPr>
          <w:rStyle w:val="SourceText"/>
        </w:rPr>
        <w:t xml:space="preserve">  </w:t>
      </w:r>
      <w:r>
        <w:rPr>
          <w:rStyle w:val="SourceText"/>
        </w:rPr>
        <w:t>createdAt: string;</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export interface VaultAccount {</w:t>
      </w:r>
    </w:p>
    <w:p>
      <w:pPr>
        <w:pStyle w:val="PreformattedText"/>
        <w:bidi w:val="0"/>
        <w:jc w:val="left"/>
        <w:rPr/>
      </w:pPr>
      <w:r>
        <w:rPr>
          <w:rStyle w:val="SourceText"/>
        </w:rPr>
        <w:t xml:space="preserve">  </w:t>
      </w:r>
      <w:r>
        <w:rPr>
          <w:rStyle w:val="SourceText"/>
        </w:rPr>
        <w:t>address: Address;</w:t>
      </w:r>
    </w:p>
    <w:p>
      <w:pPr>
        <w:pStyle w:val="PreformattedText"/>
        <w:bidi w:val="0"/>
        <w:jc w:val="left"/>
        <w:rPr/>
      </w:pPr>
      <w:r>
        <w:rPr>
          <w:rStyle w:val="SourceText"/>
        </w:rPr>
        <w:t xml:space="preserve">  </w:t>
      </w:r>
      <w:r>
        <w:rPr>
          <w:rStyle w:val="SourceText"/>
        </w:rPr>
        <w:t>index: number;</w:t>
      </w:r>
    </w:p>
    <w:p>
      <w:pPr>
        <w:pStyle w:val="PreformattedText"/>
        <w:bidi w:val="0"/>
        <w:jc w:val="left"/>
        <w:rPr/>
      </w:pPr>
      <w:r>
        <w:rPr>
          <w:rStyle w:val="SourceText"/>
        </w:rPr>
        <w:t xml:space="preserve">  </w:t>
      </w:r>
      <w:r>
        <w:rPr>
          <w:rStyle w:val="SourceText"/>
        </w:rPr>
        <w:t>/** Operator-supplied opaque reference (e.g. customer id). */</w:t>
      </w:r>
    </w:p>
    <w:p>
      <w:pPr>
        <w:pStyle w:val="PreformattedText"/>
        <w:bidi w:val="0"/>
        <w:jc w:val="left"/>
        <w:rPr/>
      </w:pPr>
      <w:r>
        <w:rPr>
          <w:rStyle w:val="SourceText"/>
        </w:rPr>
        <w:t xml:space="preserve">  </w:t>
      </w:r>
      <w:r>
        <w:rPr>
          <w:rStyle w:val="SourceText"/>
        </w:rPr>
        <w:t>ref: string;</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export interface VaultHealth {</w:t>
      </w:r>
    </w:p>
    <w:p>
      <w:pPr>
        <w:pStyle w:val="PreformattedText"/>
        <w:bidi w:val="0"/>
        <w:jc w:val="left"/>
        <w:rPr/>
      </w:pPr>
      <w:r>
        <w:rPr>
          <w:rStyle w:val="SourceText"/>
        </w:rPr>
        <w:t xml:space="preserve">  </w:t>
      </w:r>
      <w:r>
        <w:rPr>
          <w:rStyle w:val="SourceText"/>
        </w:rPr>
        <w:t>mode: VaultMode;</w:t>
      </w:r>
    </w:p>
    <w:p>
      <w:pPr>
        <w:pStyle w:val="PreformattedText"/>
        <w:bidi w:val="0"/>
        <w:jc w:val="left"/>
        <w:rPr/>
      </w:pPr>
      <w:r>
        <w:rPr>
          <w:rStyle w:val="SourceText"/>
        </w:rPr>
        <w:t xml:space="preserve">  </w:t>
      </w:r>
      <w:r>
        <w:rPr>
          <w:rStyle w:val="SourceText"/>
        </w:rPr>
        <w:t>initialized: boolean;</w:t>
      </w:r>
    </w:p>
    <w:p>
      <w:pPr>
        <w:pStyle w:val="PreformattedText"/>
        <w:bidi w:val="0"/>
        <w:jc w:val="left"/>
        <w:rPr/>
      </w:pPr>
      <w:r>
        <w:rPr>
          <w:rStyle w:val="SourceText"/>
        </w:rPr>
        <w:t xml:space="preserve">  </w:t>
      </w:r>
      <w:r>
        <w:rPr>
          <w:rStyle w:val="SourceText"/>
        </w:rPr>
        <w:t>/** For turnkey: reachability of the TEE. For mnemonic: keystore decrypted. */</w:t>
      </w:r>
    </w:p>
    <w:p>
      <w:pPr>
        <w:pStyle w:val="PreformattedText"/>
        <w:bidi w:val="0"/>
        <w:jc w:val="left"/>
        <w:rPr/>
      </w:pPr>
      <w:r>
        <w:rPr>
          <w:rStyle w:val="SourceText"/>
        </w:rPr>
        <w:t xml:space="preserve">  </w:t>
      </w:r>
      <w:r>
        <w:rPr>
          <w:rStyle w:val="SourceText"/>
        </w:rPr>
        <w:t>ready: boolean;</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export interface KeyVault {</w:t>
      </w:r>
    </w:p>
    <w:p>
      <w:pPr>
        <w:pStyle w:val="PreformattedText"/>
        <w:bidi w:val="0"/>
        <w:jc w:val="left"/>
        <w:rPr/>
      </w:pPr>
      <w:r>
        <w:rPr>
          <w:rStyle w:val="SourceText"/>
        </w:rPr>
        <w:t xml:space="preserve">  </w:t>
      </w:r>
      <w:r>
        <w:rPr>
          <w:rStyle w:val="SourceText"/>
        </w:rPr>
        <w:t>readonly mode: VaultMode;</w:t>
      </w:r>
    </w:p>
    <w:p>
      <w:pPr>
        <w:pStyle w:val="PreformattedText"/>
        <w:bidi w:val="0"/>
        <w:jc w:val="left"/>
        <w:rPr/>
      </w:pPr>
      <w:r>
        <w:rPr/>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First-run: establish the master wallet. When the master is internal, this</w:t>
      </w:r>
    </w:p>
    <w:p>
      <w:pPr>
        <w:pStyle w:val="PreformattedText"/>
        <w:bidi w:val="0"/>
        <w:jc w:val="left"/>
        <w:rPr/>
      </w:pPr>
      <w:r>
        <w:rPr>
          <w:rStyle w:val="SourceText"/>
        </w:rPr>
        <w:t xml:space="preserve">   </w:t>
      </w:r>
      <w:r>
        <w:rPr>
          <w:rStyle w:val="SourceText"/>
        </w:rPr>
        <w:t>* creates/loads the key (BIP-44 index 0 for mnemonic, or a Turnkey account).</w:t>
      </w:r>
    </w:p>
    <w:p>
      <w:pPr>
        <w:pStyle w:val="PreformattedText"/>
        <w:bidi w:val="0"/>
        <w:jc w:val="left"/>
        <w:rPr/>
      </w:pPr>
      <w:r>
        <w:rPr>
          <w:rStyle w:val="SourceText"/>
        </w:rPr>
        <w:t xml:space="preserve">   </w:t>
      </w:r>
      <w:r>
        <w:rPr>
          <w:rStyle w:val="SourceText"/>
        </w:rPr>
        <w:t>* When the master is external, this records the configured address and marks</w:t>
      </w:r>
    </w:p>
    <w:p>
      <w:pPr>
        <w:pStyle w:val="PreformattedText"/>
        <w:bidi w:val="0"/>
        <w:jc w:val="left"/>
        <w:rPr/>
      </w:pPr>
      <w:r>
        <w:rPr>
          <w:rStyle w:val="SourceText"/>
        </w:rPr>
        <w:t xml:space="preserve">   </w:t>
      </w:r>
      <w:r>
        <w:rPr>
          <w:rStyle w:val="SourceText"/>
        </w:rPr>
        <w:t>* it non-signable. Idempotent.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initializeMaster(): Promise&lt;MasterInfo&gt;;</w:t>
      </w:r>
    </w:p>
    <w:p>
      <w:pPr>
        <w:pStyle w:val="PreformattedText"/>
        <w:bidi w:val="0"/>
        <w:jc w:val="left"/>
        <w:rPr/>
      </w:pPr>
      <w:r>
        <w:rPr/>
      </w:r>
    </w:p>
    <w:p>
      <w:pPr>
        <w:pStyle w:val="PreformattedText"/>
        <w:bidi w:val="0"/>
        <w:jc w:val="left"/>
        <w:rPr/>
      </w:pPr>
      <w:r>
        <w:rPr>
          <w:rStyle w:val="SourceText"/>
        </w:rPr>
        <w:t xml:space="preserve">  </w:t>
      </w:r>
      <w:r>
        <w:rPr>
          <w:rStyle w:val="SourceText"/>
        </w:rPr>
        <w:t>/** Derive/create the account at `index`, tagging it with `ref`. Idempotent per index. */</w:t>
      </w:r>
    </w:p>
    <w:p>
      <w:pPr>
        <w:pStyle w:val="PreformattedText"/>
        <w:bidi w:val="0"/>
        <w:jc w:val="left"/>
        <w:rPr/>
      </w:pPr>
      <w:r>
        <w:rPr>
          <w:rStyle w:val="SourceText"/>
        </w:rPr>
        <w:t xml:space="preserve">  </w:t>
      </w:r>
      <w:r>
        <w:rPr>
          <w:rStyle w:val="SourceText"/>
        </w:rPr>
        <w:t>createAccount(index: number, ref: string): Promise&lt;VaultAccount&gt;;</w:t>
      </w:r>
    </w:p>
    <w:p>
      <w:pPr>
        <w:pStyle w:val="PreformattedText"/>
        <w:bidi w:val="0"/>
        <w:jc w:val="left"/>
        <w:rPr/>
      </w:pPr>
      <w:r>
        <w:rPr/>
      </w:r>
    </w:p>
    <w:p>
      <w:pPr>
        <w:pStyle w:val="PreformattedText"/>
        <w:bidi w:val="0"/>
        <w:jc w:val="left"/>
        <w:rPr/>
      </w:pPr>
      <w:r>
        <w:rPr>
          <w:rStyle w:val="SourceText"/>
        </w:rPr>
        <w:t xml:space="preserve">  </w:t>
      </w:r>
      <w:r>
        <w:rPr>
          <w:rStyle w:val="SourceText"/>
        </w:rPr>
        <w:t>/** EIP-712 typed-data signature (orders). */</w:t>
      </w:r>
    </w:p>
    <w:p>
      <w:pPr>
        <w:pStyle w:val="PreformattedText"/>
        <w:bidi w:val="0"/>
        <w:jc w:val="left"/>
        <w:rPr/>
      </w:pPr>
      <w:r>
        <w:rPr>
          <w:rStyle w:val="SourceText"/>
        </w:rPr>
        <w:t xml:space="preserve">  </w:t>
      </w:r>
      <w:r>
        <w:rPr>
          <w:rStyle w:val="SourceText"/>
        </w:rPr>
        <w:t>signTypedData(address: Address, typedData: TypedDataDefinition): Promise&lt;Hex&gt;;</w:t>
      </w:r>
    </w:p>
    <w:p>
      <w:pPr>
        <w:pStyle w:val="PreformattedText"/>
        <w:bidi w:val="0"/>
        <w:jc w:val="left"/>
        <w:rPr/>
      </w:pPr>
      <w:r>
        <w:rPr/>
      </w:r>
    </w:p>
    <w:p>
      <w:pPr>
        <w:pStyle w:val="PreformattedText"/>
        <w:bidi w:val="0"/>
        <w:jc w:val="left"/>
        <w:rPr/>
      </w:pPr>
      <w:r>
        <w:rPr>
          <w:rStyle w:val="SourceText"/>
        </w:rPr>
        <w:t xml:space="preserve">  </w:t>
      </w:r>
      <w:r>
        <w:rPr>
          <w:rStyle w:val="SourceText"/>
        </w:rPr>
        <w:t>/** EIP-191 personal_sign (meta-tx struct hash, cancel messages). */</w:t>
      </w:r>
    </w:p>
    <w:p>
      <w:pPr>
        <w:pStyle w:val="PreformattedText"/>
        <w:bidi w:val="0"/>
        <w:jc w:val="left"/>
        <w:rPr/>
      </w:pPr>
      <w:r>
        <w:rPr>
          <w:rStyle w:val="SourceText"/>
        </w:rPr>
        <w:t xml:space="preserve">  </w:t>
      </w:r>
      <w:r>
        <w:rPr>
          <w:rStyle w:val="SourceText"/>
        </w:rPr>
        <w:t>personalSign(address: Address, message: Hex | string): Promise&lt;Hex&gt;;</w:t>
      </w:r>
    </w:p>
    <w:p>
      <w:pPr>
        <w:pStyle w:val="PreformattedText"/>
        <w:bidi w:val="0"/>
        <w:jc w:val="left"/>
        <w:rPr/>
      </w:pPr>
      <w:r>
        <w:rPr/>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Raw EVM transaction signing (treasury). Throws MASTER_NOT_SIGNABLE when the</w:t>
      </w:r>
    </w:p>
    <w:p>
      <w:pPr>
        <w:pStyle w:val="PreformattedText"/>
        <w:bidi w:val="0"/>
        <w:jc w:val="left"/>
        <w:rPr/>
      </w:pPr>
      <w:r>
        <w:rPr>
          <w:rStyle w:val="SourceText"/>
        </w:rPr>
        <w:t xml:space="preserve">   </w:t>
      </w:r>
      <w:r>
        <w:rPr>
          <w:rStyle w:val="SourceText"/>
        </w:rPr>
        <w:t>* address is an externally-custodied master wallet.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signTransaction(address: Address, tx: TransactionSerializable): Promise&lt;Hex&gt;;</w:t>
      </w:r>
    </w:p>
    <w:p>
      <w:pPr>
        <w:pStyle w:val="PreformattedText"/>
        <w:bidi w:val="0"/>
        <w:jc w:val="left"/>
        <w:rPr/>
      </w:pPr>
      <w:r>
        <w:rPr/>
      </w:r>
    </w:p>
    <w:p>
      <w:pPr>
        <w:pStyle w:val="PreformattedText"/>
        <w:bidi w:val="0"/>
        <w:jc w:val="left"/>
        <w:rPr/>
      </w:pPr>
      <w:r>
        <w:rPr>
          <w:rStyle w:val="SourceText"/>
        </w:rPr>
        <w:t xml:space="preserve">  </w:t>
      </w:r>
      <w:r>
        <w:rPr>
          <w:rStyle w:val="SourceText"/>
        </w:rPr>
        <w:t>health(): Promise&lt;VaultHealth&gt;;</w:t>
      </w:r>
    </w:p>
    <w:p>
      <w:pPr>
        <w:pStyle w:val="PreformattedText"/>
        <w:bidi w:val="0"/>
        <w:spacing w:before="0" w:after="283"/>
        <w:jc w:val="left"/>
        <w:rPr/>
      </w:pPr>
      <w:r>
        <w:rPr>
          <w:rStyle w:val="SourceText"/>
        </w:rPr>
        <w:t>}</w:t>
      </w:r>
    </w:p>
    <w:p>
      <w:pPr>
        <w:pStyle w:val="BodyText"/>
        <w:bidi w:val="0"/>
        <w:jc w:val="left"/>
        <w:rPr/>
      </w:pPr>
      <w:r>
        <w:rPr/>
        <w:t xml:space="preserve">Every signing method takes an </w:t>
      </w:r>
      <w:r>
        <w:rPr>
          <w:rStyle w:val="SourceText"/>
        </w:rPr>
        <w:t>address</w:t>
      </w:r>
      <w:r>
        <w:rPr/>
        <w:t xml:space="preserve"> and uses it to select the correct key out of many — this is what lets one process drive thousands of wallets.</w:t>
      </w:r>
    </w:p>
    <w:p>
      <w:pPr>
        <w:pStyle w:val="Heading3"/>
        <w:bidi w:val="0"/>
        <w:jc w:val="left"/>
        <w:rPr/>
      </w:pPr>
      <w:r>
        <w:rPr/>
        <w:t>6.3 Wallet roles and the derivation model</w:t>
      </w:r>
    </w:p>
    <w:p>
      <w:pPr>
        <w:pStyle w:val="BodyText"/>
        <w:bidi w:val="0"/>
        <w:jc w:val="left"/>
        <w:rPr/>
      </w:pPr>
      <w:r>
        <w:rPr/>
        <w:t xml:space="preserve">Both modes share one addressing scheme rooted at the BIP-44 path </w:t>
      </w:r>
      <w:r>
        <w:rPr>
          <w:rStyle w:val="SourceText"/>
        </w:rPr>
        <w:t>m/44'/60'/0'/0/{index}</w:t>
      </w:r>
      <w:r>
        <w:rPr/>
        <w:t>:</w:t>
      </w:r>
    </w:p>
    <w:tbl>
      <w:tblPr>
        <w:tblW w:w="5000" w:type="pct"/>
        <w:jc w:val="left"/>
        <w:tblInd w:w="45" w:type="dxa"/>
        <w:tblLayout w:type="fixed"/>
        <w:tblCellMar>
          <w:top w:w="45" w:type="dxa"/>
          <w:left w:w="45" w:type="dxa"/>
          <w:bottom w:w="45" w:type="dxa"/>
          <w:right w:w="45" w:type="dxa"/>
        </w:tblCellMar>
      </w:tblPr>
      <w:tblGrid>
        <w:gridCol w:w="659"/>
        <w:gridCol w:w="1680"/>
        <w:gridCol w:w="9000"/>
      </w:tblGrid>
      <w:tr>
        <w:trPr>
          <w:tblHeader w:val="true"/>
        </w:trPr>
        <w:tc>
          <w:tcPr>
            <w:tcW w:w="65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Index</w:t>
            </w:r>
          </w:p>
        </w:tc>
        <w:tc>
          <w:tcPr>
            <w:tcW w:w="1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Role</w:t>
            </w:r>
          </w:p>
        </w:tc>
        <w:tc>
          <w:tcPr>
            <w:tcW w:w="90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Notes</w:t>
            </w:r>
          </w:p>
        </w:tc>
      </w:tr>
      <w:tr>
        <w:trPr/>
        <w:tc>
          <w:tcPr>
            <w:tcW w:w="6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0</w:t>
            </w:r>
          </w:p>
        </w:tc>
        <w:tc>
          <w:tcPr>
            <w:tcW w:w="16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trong"/>
              </w:rPr>
              <w:t>Master wallet</w:t>
            </w:r>
          </w:p>
        </w:tc>
        <w:tc>
          <w:tcPr>
            <w:tcW w:w="9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Central treasury. Used </w:t>
            </w:r>
            <w:r>
              <w:rPr>
                <w:rStyle w:val="Strong"/>
              </w:rPr>
              <w:t>only when the master is internal</w:t>
            </w:r>
            <w:r>
              <w:rPr/>
              <w:t xml:space="preserve"> (see §6.6). Reserved/unused when the master is externally custodied.</w:t>
            </w:r>
          </w:p>
        </w:tc>
      </w:tr>
      <w:tr>
        <w:trPr/>
        <w:tc>
          <w:tcPr>
            <w:tcW w:w="65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1</w:t>
            </w:r>
          </w:p>
        </w:tc>
        <w:tc>
          <w:tcPr>
            <w:tcW w:w="168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trong"/>
              </w:rPr>
              <w:t>Operational wallet</w:t>
            </w:r>
          </w:p>
        </w:tc>
        <w:tc>
          <w:tcPr>
            <w:tcW w:w="900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Active liquidity ("O1" in the product draft). The operator creates a user for this address.</w:t>
            </w:r>
          </w:p>
        </w:tc>
      </w:tr>
      <w:tr>
        <w:trPr/>
        <w:tc>
          <w:tcPr>
            <w:tcW w:w="65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2 … N</w:t>
            </w:r>
          </w:p>
        </w:tc>
        <w:tc>
          <w:tcPr>
            <w:tcW w:w="168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trong"/>
              </w:rPr>
              <w:t>Customer wallets</w:t>
            </w:r>
          </w:p>
        </w:tc>
        <w:tc>
          <w:tcPr>
            <w:tcW w:w="900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One EOA per customer; each maps 1:1 to a proxy wallet.</w:t>
            </w:r>
          </w:p>
        </w:tc>
      </w:tr>
    </w:tbl>
    <w:p>
      <w:pPr>
        <w:pStyle w:val="BodyText"/>
        <w:bidi w:val="0"/>
        <w:jc w:val="left"/>
        <w:rPr/>
      </w:pPr>
      <w:r>
        <w:rPr/>
        <w:t xml:space="preserve">In Turnkey mode the same indices map onto Turnkey wallet accounts at matching derivation paths. When an operator wants per-user policy isolation, the alternative is a Turnkey </w:t>
      </w:r>
      <w:r>
        <w:rPr>
          <w:rStyle w:val="Strong"/>
        </w:rPr>
        <w:t>sub-organisation per customer</w:t>
      </w:r>
      <w:r>
        <w:rPr/>
        <w:t>; this is documented as a configuration variant, not the default.</w:t>
      </w:r>
    </w:p>
    <w:p>
      <w:pPr>
        <w:pStyle w:val="BodyText"/>
        <w:bidi w:val="0"/>
        <w:jc w:val="left"/>
        <w:rPr/>
      </w:pPr>
      <w:r>
        <w:rPr/>
        <w:t>The operational-wallet and customer-wallet indices are stable regardless of where the master lives: when the master is external, index 0 is simply reserved and the operational wallet remains at index 1.</w:t>
      </w:r>
    </w:p>
    <w:p>
      <w:pPr>
        <w:pStyle w:val="Heading3"/>
        <w:bidi w:val="0"/>
        <w:jc w:val="left"/>
        <w:rPr/>
      </w:pPr>
      <w:r>
        <w:rPr/>
        <w:t>6.4 Proxy wallet address derivation</w:t>
      </w:r>
    </w:p>
    <w:p>
      <w:pPr>
        <w:pStyle w:val="BodyText"/>
        <w:bidi w:val="0"/>
        <w:jc w:val="left"/>
        <w:rPr/>
      </w:pPr>
      <w:r>
        <w:rPr/>
        <w:t xml:space="preserve">A customer's on-chain proxy wallet address is a deterministic function of their EOA, so the </w:t>
      </w:r>
      <w:r>
        <w:rPr>
          <w:rStyle w:val="SourceText"/>
        </w:rPr>
        <w:t>dpmw</w:t>
      </w:r>
      <w:r>
        <w:rPr/>
        <w:t xml:space="preserve"> returns it at creation time with </w:t>
      </w:r>
      <w:r>
        <w:rPr>
          <w:rStyle w:val="Strong"/>
        </w:rPr>
        <w:t>no chain call</w:t>
      </w:r>
      <w:r>
        <w:rPr/>
        <w:t>:</w:t>
      </w:r>
    </w:p>
    <w:p>
      <w:pPr>
        <w:pStyle w:val="PreformattedText"/>
        <w:bidi w:val="0"/>
        <w:jc w:val="left"/>
        <w:rPr/>
      </w:pPr>
      <w:r>
        <w:rPr>
          <w:rStyle w:val="SourceText"/>
        </w:rPr>
        <w:t>salt        = keccak256(abi.encodePacked(eoaAddress))       // 20-byte address, packed</w:t>
      </w:r>
    </w:p>
    <w:p>
      <w:pPr>
        <w:pStyle w:val="PreformattedText"/>
        <w:bidi w:val="0"/>
        <w:jc w:val="left"/>
        <w:rPr/>
      </w:pPr>
      <w:r>
        <w:rPr>
          <w:rStyle w:val="SourceText"/>
        </w:rPr>
        <w:t>initCodeHash = keccak256(minimalProxyCloneBytecode(implementation))</w:t>
      </w:r>
    </w:p>
    <w:p>
      <w:pPr>
        <w:pStyle w:val="PreformattedText"/>
        <w:bidi w:val="0"/>
        <w:spacing w:before="0" w:after="283"/>
        <w:jc w:val="left"/>
        <w:rPr/>
      </w:pPr>
      <w:r>
        <w:rPr>
          <w:rStyle w:val="SourceText"/>
        </w:rPr>
        <w:t>proxyAddress = CREATE2(proxyFactory, salt, initCodeHash)     // last 20 bytes</w:t>
      </w:r>
    </w:p>
    <w:p>
      <w:pPr>
        <w:pStyle w:val="BodyText"/>
        <w:bidi w:val="0"/>
        <w:jc w:val="left"/>
        <w:rPr/>
      </w:pPr>
      <w:r>
        <w:rPr/>
        <w:t xml:space="preserve">This mirrors </w:t>
      </w:r>
      <w:r>
        <w:rPr>
          <w:rStyle w:val="SourceText"/>
        </w:rPr>
        <w:t>ProxyWalletFactory</w:t>
      </w:r>
      <w:r>
        <w:rPr/>
        <w:t xml:space="preserve"> in the </w:t>
      </w:r>
      <w:r>
        <w:rPr>
          <w:rStyle w:val="SourceText"/>
        </w:rPr>
        <w:t>proxy-factories</w:t>
      </w:r>
      <w:r>
        <w:rPr/>
        <w:t xml:space="preserve"> repo (salt is </w:t>
      </w:r>
      <w:r>
        <w:rPr>
          <w:rStyle w:val="SourceText"/>
        </w:rPr>
        <w:t>keccak256(abi.encodePacked(msgSender))</w:t>
      </w:r>
      <w:r>
        <w:rPr/>
        <w:t xml:space="preserve">). The </w:t>
      </w:r>
      <w:r>
        <w:rPr>
          <w:rStyle w:val="SourceText"/>
        </w:rPr>
        <w:t>dpmw</w:t>
      </w:r>
      <w:r>
        <w:rPr/>
        <w:t xml:space="preserve"> computes it locally with viem, using the </w:t>
      </w:r>
      <w:r>
        <w:rPr>
          <w:rStyle w:val="SourceText"/>
        </w:rPr>
        <w:t>proxyFactory</w:t>
      </w:r>
      <w:r>
        <w:rPr/>
        <w:t xml:space="preserve"> and implementation addresses from config.</w:t>
      </w:r>
    </w:p>
    <w:p>
      <w:pPr>
        <w:pStyle w:val="Heading3"/>
        <w:bidi w:val="0"/>
        <w:jc w:val="left"/>
        <w:rPr/>
      </w:pPr>
      <w:r>
        <w:rPr/>
        <w:t>6.5 The two custody modes</w:t>
      </w:r>
    </w:p>
    <w:p>
      <w:pPr>
        <w:pStyle w:val="Heading4"/>
        <w:bidi w:val="0"/>
        <w:jc w:val="left"/>
        <w:rPr/>
      </w:pPr>
      <w:r>
        <w:rPr/>
        <w:t>Mnemonic (self-custody) mode</w:t>
      </w:r>
    </w:p>
    <w:p>
      <w:pPr>
        <w:pStyle w:val="BodyText"/>
        <w:numPr>
          <w:ilvl w:val="0"/>
          <w:numId w:val="6"/>
        </w:numPr>
        <w:tabs>
          <w:tab w:val="clear" w:pos="1134"/>
          <w:tab w:val="left" w:pos="709" w:leader="none"/>
        </w:tabs>
        <w:bidi w:val="0"/>
        <w:spacing w:before="0" w:after="0"/>
        <w:ind w:hanging="283" w:left="709"/>
        <w:jc w:val="left"/>
        <w:rPr/>
      </w:pPr>
      <w:r>
        <w:rPr/>
        <w:t xml:space="preserve">On first run, generate a </w:t>
      </w:r>
      <w:r>
        <w:rPr>
          <w:rStyle w:val="Strong"/>
        </w:rPr>
        <w:t>BIP-39 mnemonic</w:t>
      </w:r>
      <w:r>
        <w:rPr/>
        <w:t xml:space="preserve"> (256-bit entropy → 24 words). </w:t>
      </w:r>
    </w:p>
    <w:p>
      <w:pPr>
        <w:pStyle w:val="BodyText"/>
        <w:numPr>
          <w:ilvl w:val="0"/>
          <w:numId w:val="6"/>
        </w:numPr>
        <w:tabs>
          <w:tab w:val="clear" w:pos="1134"/>
          <w:tab w:val="left" w:pos="709" w:leader="none"/>
        </w:tabs>
        <w:bidi w:val="0"/>
        <w:spacing w:before="0" w:after="0"/>
        <w:ind w:hanging="283" w:left="709"/>
        <w:jc w:val="left"/>
        <w:rPr/>
      </w:pPr>
      <w:r>
        <w:rPr/>
        <w:t xml:space="preserve">Derive the HD root; addresses are children at </w:t>
      </w:r>
      <w:r>
        <w:rPr>
          <w:rStyle w:val="SourceText"/>
        </w:rPr>
        <w:t>m/44'/60'/0'/0/{index}</w:t>
      </w:r>
      <w:r>
        <w:rPr/>
        <w:t xml:space="preserve">. </w:t>
      </w:r>
    </w:p>
    <w:p>
      <w:pPr>
        <w:pStyle w:val="BodyText"/>
        <w:numPr>
          <w:ilvl w:val="0"/>
          <w:numId w:val="6"/>
        </w:numPr>
        <w:tabs>
          <w:tab w:val="clear" w:pos="1134"/>
          <w:tab w:val="left" w:pos="709" w:leader="none"/>
        </w:tabs>
        <w:bidi w:val="0"/>
        <w:spacing w:before="0" w:after="0"/>
        <w:ind w:hanging="283" w:left="709"/>
        <w:jc w:val="left"/>
        <w:rPr/>
      </w:pPr>
      <w:r>
        <w:rPr/>
        <w:t xml:space="preserve">The mnemonic is </w:t>
      </w:r>
      <w:r>
        <w:rPr>
          <w:rStyle w:val="Strong"/>
        </w:rPr>
        <w:t>encrypted at rest</w:t>
      </w:r>
      <w:r>
        <w:rPr/>
        <w:t xml:space="preserve"> with AES-256-GCM. The encryption key is derived with </w:t>
      </w:r>
      <w:r>
        <w:rPr>
          <w:rStyle w:val="Strong"/>
        </w:rPr>
        <w:t>scrypt</w:t>
      </w:r>
      <w:r>
        <w:rPr/>
        <w:t xml:space="preserve"> from a passphrase supplied via env (</w:t>
      </w:r>
      <w:r>
        <w:rPr>
          <w:rStyle w:val="SourceText"/>
        </w:rPr>
        <w:t>DPMW_KEYSTORE_PASSPHRASE</w:t>
      </w:r>
      <w:r>
        <w:rPr/>
        <w:t xml:space="preserve">) plus a per-install random salt stored alongside the ciphertext. </w:t>
      </w:r>
    </w:p>
    <w:p>
      <w:pPr>
        <w:pStyle w:val="BodyText"/>
        <w:numPr>
          <w:ilvl w:val="0"/>
          <w:numId w:val="6"/>
        </w:numPr>
        <w:tabs>
          <w:tab w:val="clear" w:pos="1134"/>
          <w:tab w:val="left" w:pos="709" w:leader="none"/>
        </w:tabs>
        <w:bidi w:val="0"/>
        <w:spacing w:before="0" w:after="0"/>
        <w:ind w:hanging="283" w:left="709"/>
        <w:jc w:val="left"/>
        <w:rPr/>
      </w:pPr>
      <w:r>
        <w:rPr/>
        <w:t>The encrypted keystore is written to the SQLite volume (</w:t>
      </w:r>
      <w:r>
        <w:rPr>
          <w:rStyle w:val="SourceText"/>
        </w:rPr>
        <w:t>vault_state</w:t>
      </w:r>
      <w:r>
        <w:rPr/>
        <w:t xml:space="preserve"> table), never to plaintext disk. </w:t>
      </w:r>
    </w:p>
    <w:p>
      <w:pPr>
        <w:pStyle w:val="BodyText"/>
        <w:numPr>
          <w:ilvl w:val="0"/>
          <w:numId w:val="6"/>
        </w:numPr>
        <w:tabs>
          <w:tab w:val="clear" w:pos="1134"/>
          <w:tab w:val="left" w:pos="709" w:leader="none"/>
        </w:tabs>
        <w:bidi w:val="0"/>
        <w:spacing w:before="0" w:after="0"/>
        <w:ind w:hanging="283" w:left="709"/>
        <w:jc w:val="left"/>
        <w:rPr/>
      </w:pPr>
      <w:r>
        <w:rPr/>
        <w:t xml:space="preserve">A guarded </w:t>
      </w:r>
      <w:r>
        <w:rPr>
          <w:rStyle w:val="Strong"/>
        </w:rPr>
        <w:t>encrypted export</w:t>
      </w:r>
      <w:r>
        <w:rPr/>
        <w:t xml:space="preserve"> endpoint returns the ciphertext (never plaintext) so the operator can back it up. Requires the passphrase to be re-presented. </w:t>
      </w:r>
    </w:p>
    <w:p>
      <w:pPr>
        <w:pStyle w:val="BodyText"/>
        <w:numPr>
          <w:ilvl w:val="0"/>
          <w:numId w:val="6"/>
        </w:numPr>
        <w:tabs>
          <w:tab w:val="clear" w:pos="1134"/>
          <w:tab w:val="left" w:pos="709" w:leader="none"/>
        </w:tabs>
        <w:bidi w:val="0"/>
        <w:ind w:hanging="283" w:left="709"/>
        <w:jc w:val="left"/>
        <w:rPr/>
      </w:pPr>
      <w:r>
        <w:rPr/>
        <w:t xml:space="preserve">Signing loads the key into memory only for the duration of the operation; keys are never logged. </w:t>
      </w:r>
    </w:p>
    <w:p>
      <w:pPr>
        <w:pStyle w:val="Heading4"/>
        <w:bidi w:val="0"/>
        <w:jc w:val="left"/>
        <w:rPr/>
      </w:pPr>
      <w:r>
        <w:rPr/>
        <w:t>Turnkey mode</w:t>
      </w:r>
    </w:p>
    <w:p>
      <w:pPr>
        <w:pStyle w:val="BodyText"/>
        <w:numPr>
          <w:ilvl w:val="0"/>
          <w:numId w:val="7"/>
        </w:numPr>
        <w:tabs>
          <w:tab w:val="clear" w:pos="1134"/>
          <w:tab w:val="left" w:pos="709" w:leader="none"/>
        </w:tabs>
        <w:bidi w:val="0"/>
        <w:spacing w:before="0" w:after="0"/>
        <w:ind w:hanging="283" w:left="709"/>
        <w:jc w:val="left"/>
        <w:rPr/>
      </w:pPr>
      <w:r>
        <w:rPr/>
        <w:t xml:space="preserve">On first run, when the master is </w:t>
      </w:r>
      <w:r>
        <w:rPr>
          <w:rStyle w:val="Strong"/>
        </w:rPr>
        <w:t>internal</w:t>
      </w:r>
      <w:r>
        <w:rPr/>
        <w:t xml:space="preserve">, ensure a Turnkey </w:t>
      </w:r>
      <w:r>
        <w:rPr>
          <w:rStyle w:val="Strong"/>
        </w:rPr>
        <w:t>wallet</w:t>
      </w:r>
      <w:r>
        <w:rPr/>
        <w:t xml:space="preserve"> (or sub-organisation) exists for the master; create if absent. When the master is </w:t>
      </w:r>
      <w:r>
        <w:rPr>
          <w:rStyle w:val="Strong"/>
        </w:rPr>
        <w:t>external</w:t>
      </w:r>
      <w:r>
        <w:rPr/>
        <w:t xml:space="preserve"> (§6.6), skip master key creation and only record its address. </w:t>
      </w:r>
    </w:p>
    <w:p>
      <w:pPr>
        <w:pStyle w:val="BodyText"/>
        <w:numPr>
          <w:ilvl w:val="0"/>
          <w:numId w:val="7"/>
        </w:numPr>
        <w:tabs>
          <w:tab w:val="clear" w:pos="1134"/>
          <w:tab w:val="left" w:pos="709" w:leader="none"/>
        </w:tabs>
        <w:bidi w:val="0"/>
        <w:spacing w:before="0" w:after="0"/>
        <w:ind w:hanging="283" w:left="709"/>
        <w:jc w:val="left"/>
        <w:rPr/>
      </w:pPr>
      <w:r>
        <w:rPr>
          <w:rStyle w:val="SourceText"/>
        </w:rPr>
        <w:t>createAccount(index, ref)</w:t>
      </w:r>
      <w:r>
        <w:rPr/>
        <w:t xml:space="preserve"> calls Turnkey to create the wallet account at the derivation path and returns its address. </w:t>
      </w:r>
    </w:p>
    <w:p>
      <w:pPr>
        <w:pStyle w:val="BodyText"/>
        <w:numPr>
          <w:ilvl w:val="0"/>
          <w:numId w:val="7"/>
        </w:numPr>
        <w:tabs>
          <w:tab w:val="clear" w:pos="1134"/>
          <w:tab w:val="left" w:pos="709" w:leader="none"/>
        </w:tabs>
        <w:bidi w:val="0"/>
        <w:spacing w:before="0" w:after="0"/>
        <w:ind w:hanging="283" w:left="709"/>
        <w:jc w:val="left"/>
        <w:rPr/>
      </w:pPr>
      <w:r>
        <w:rPr/>
        <w:t>Signing calls Turnkey's sign APIs (</w:t>
      </w:r>
      <w:r>
        <w:rPr>
          <w:rStyle w:val="SourceText"/>
        </w:rPr>
        <w:t>signRawPayload</w:t>
      </w:r>
      <w:r>
        <w:rPr/>
        <w:t xml:space="preserve"> / typed-data equivalent). The service holds </w:t>
      </w:r>
      <w:r>
        <w:rPr>
          <w:rStyle w:val="Strong"/>
        </w:rPr>
        <w:t>no private key material</w:t>
      </w:r>
      <w:r>
        <w:rPr/>
        <w:t xml:space="preserve"> — only the operator's Turnkey API credentials (</w:t>
      </w:r>
      <w:r>
        <w:rPr>
          <w:rStyle w:val="SourceText"/>
        </w:rPr>
        <w:t>TURNKEY_API_PUBLIC_KEY</w:t>
      </w:r>
      <w:r>
        <w:rPr/>
        <w:t xml:space="preserve"> / </w:t>
      </w:r>
      <w:r>
        <w:rPr>
          <w:rStyle w:val="SourceText"/>
        </w:rPr>
        <w:t>TURNKEY_API_PRIVATE_KEY</w:t>
      </w:r>
      <w:r>
        <w:rPr/>
        <w:t xml:space="preserve"> / </w:t>
      </w:r>
      <w:r>
        <w:rPr>
          <w:rStyle w:val="SourceText"/>
        </w:rPr>
        <w:t>TURNKEY_ORGANIZATION_ID</w:t>
      </w:r>
      <w:r>
        <w:rPr/>
        <w:t xml:space="preserve">). </w:t>
      </w:r>
    </w:p>
    <w:p>
      <w:pPr>
        <w:pStyle w:val="BodyText"/>
        <w:numPr>
          <w:ilvl w:val="0"/>
          <w:numId w:val="7"/>
        </w:numPr>
        <w:tabs>
          <w:tab w:val="clear" w:pos="1134"/>
          <w:tab w:val="left" w:pos="709" w:leader="none"/>
        </w:tabs>
        <w:bidi w:val="0"/>
        <w:ind w:hanging="283" w:left="709"/>
        <w:jc w:val="left"/>
        <w:rPr/>
      </w:pPr>
      <w:r>
        <w:rPr/>
        <w:t xml:space="preserve">Turnkey is reached through a </w:t>
      </w:r>
      <w:r>
        <w:rPr>
          <w:rStyle w:val="SourceText"/>
        </w:rPr>
        <w:t>TurnkeyProvider</w:t>
      </w:r>
      <w:r>
        <w:rPr/>
        <w:t xml:space="preserve"> abstraction (see </w:t>
      </w:r>
      <w:hyperlink w:anchor="8-third-party-integrations">
        <w:r>
          <w:rPr>
            <w:rStyle w:val="Hyperlink"/>
          </w:rPr>
          <w:t>Section 8</w:t>
        </w:r>
      </w:hyperlink>
      <w:r>
        <w:rPr/>
        <w:t xml:space="preserve">) so a different signer (Fireblocks, Qredo) can replace it. </w:t>
      </w:r>
    </w:p>
    <w:p>
      <w:pPr>
        <w:pStyle w:val="BodyText"/>
        <w:bidi w:val="0"/>
        <w:jc w:val="left"/>
        <w:rPr/>
      </w:pPr>
      <w:r>
        <w:rPr/>
        <w:t xml:space="preserve">Both modes must reproduce the SDK's </w:t>
      </w:r>
      <w:r>
        <w:rPr>
          <w:rStyle w:val="SourceText"/>
        </w:rPr>
        <w:t>personalSign</w:t>
      </w:r>
      <w:r>
        <w:rPr/>
        <w:t xml:space="preserve"> hex/UTF-8 branching exactly (see </w:t>
      </w:r>
      <w:hyperlink w:anchor="95-a-required-personalsign-detail">
        <w:r>
          <w:rPr>
            <w:rStyle w:val="Hyperlink"/>
          </w:rPr>
          <w:t>Section 9.5</w:t>
        </w:r>
      </w:hyperlink>
      <w:r>
        <w:rPr/>
        <w:t>).</w:t>
      </w:r>
    </w:p>
    <w:p>
      <w:pPr>
        <w:pStyle w:val="Heading3"/>
        <w:bidi w:val="0"/>
        <w:jc w:val="left"/>
        <w:rPr/>
      </w:pPr>
      <w:r>
        <w:rPr/>
        <w:t>6.6 Master wallet location (internal vs external)</w:t>
      </w:r>
    </w:p>
    <w:p>
      <w:pPr>
        <w:pStyle w:val="BodyText"/>
        <w:bidi w:val="0"/>
        <w:jc w:val="left"/>
        <w:rPr/>
      </w:pPr>
      <w:r>
        <w:rPr/>
        <w:t xml:space="preserve">The vault mode (mnemonic / Turnkey) and the </w:t>
      </w:r>
      <w:r>
        <w:rPr>
          <w:rStyle w:val="Strong"/>
        </w:rPr>
        <w:t>master wallet location</w:t>
      </w:r>
      <w:r>
        <w:rPr/>
        <w:t xml:space="preserve"> are two independent axes. The operational and customer wallets are always managed by the active vault, but the master wallet — the central treasury — need not be. Per the product requirements it "can be managed natively within Turnkey or via an external enterprise custody provider (e.g., Fireblocks, Qredo)", and in practice it may also be a wallet the operator controls through MetaMask or a hardware/enterprise custodian. The </w:t>
      </w:r>
      <w:r>
        <w:rPr>
          <w:rStyle w:val="SourceText"/>
        </w:rPr>
        <w:t>dpmw</w:t>
      </w:r>
      <w:r>
        <w:rPr/>
        <w:t xml:space="preserve"> therefore does </w:t>
      </w:r>
      <w:r>
        <w:rPr>
          <w:rStyle w:val="Strong"/>
        </w:rPr>
        <w:t>not</w:t>
      </w:r>
      <w:r>
        <w:rPr/>
        <w:t xml:space="preserve"> assume the master is a key it holds.</w:t>
      </w:r>
    </w:p>
    <w:p>
      <w:pPr>
        <w:pStyle w:val="BodyText"/>
        <w:bidi w:val="0"/>
        <w:jc w:val="left"/>
        <w:rPr/>
      </w:pPr>
      <w:r>
        <w:rPr/>
        <w:t>Two locations are supported, selected by config:</w:t>
      </w:r>
    </w:p>
    <w:tbl>
      <w:tblPr>
        <w:tblW w:w="5000" w:type="pct"/>
        <w:jc w:val="left"/>
        <w:tblInd w:w="45" w:type="dxa"/>
        <w:tblLayout w:type="fixed"/>
        <w:tblCellMar>
          <w:top w:w="45" w:type="dxa"/>
          <w:left w:w="45" w:type="dxa"/>
          <w:bottom w:w="45" w:type="dxa"/>
          <w:right w:w="45" w:type="dxa"/>
        </w:tblCellMar>
      </w:tblPr>
      <w:tblGrid>
        <w:gridCol w:w="1346"/>
        <w:gridCol w:w="4014"/>
        <w:gridCol w:w="5979"/>
      </w:tblGrid>
      <w:tr>
        <w:trPr>
          <w:tblHeader w:val="true"/>
        </w:trPr>
        <w:tc>
          <w:tcPr>
            <w:tcW w:w="134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Location</w:t>
            </w:r>
          </w:p>
        </w:tc>
        <w:tc>
          <w:tcPr>
            <w:tcW w:w="401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Who holds the key</w:t>
            </w:r>
          </w:p>
        </w:tc>
        <w:tc>
          <w:tcPr>
            <w:tcW w:w="59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rStyle w:val="SourceText"/>
              </w:rPr>
              <w:t>dpmw</w:t>
            </w:r>
            <w:r>
              <w:rPr/>
              <w:t xml:space="preserve"> capability</w:t>
            </w:r>
          </w:p>
        </w:tc>
      </w:tr>
      <w:tr>
        <w:trPr/>
        <w:tc>
          <w:tcPr>
            <w:tcW w:w="134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**internal**</w:t>
            </w:r>
          </w:p>
        </w:tc>
        <w:tc>
          <w:tcPr>
            <w:tcW w:w="401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The active vault: mnemonic index 0, or a Turnkey master account.</w:t>
            </w:r>
          </w:p>
        </w:tc>
        <w:tc>
          <w:tcPr>
            <w:tcW w:w="597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Full — the </w:t>
            </w:r>
            <w:r>
              <w:rPr>
                <w:rStyle w:val="SourceText"/>
              </w:rPr>
              <w:t>dpmw</w:t>
            </w:r>
            <w:r>
              <w:rPr/>
              <w:t xml:space="preserve"> can sign treasury transactions from the master.</w:t>
            </w:r>
          </w:p>
        </w:tc>
      </w:tr>
      <w:tr>
        <w:trPr/>
        <w:tc>
          <w:tcPr>
            <w:tcW w:w="1346"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**external**</w:t>
            </w:r>
          </w:p>
        </w:tc>
        <w:tc>
          <w:tcPr>
            <w:tcW w:w="401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 third-party custodian (Fireblocks, Qredo, MetaMask, hardware).</w:t>
            </w:r>
          </w:p>
        </w:tc>
        <w:tc>
          <w:tcPr>
            <w:tcW w:w="597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Address-only — the </w:t>
            </w:r>
            <w:r>
              <w:rPr>
                <w:rStyle w:val="SourceText"/>
              </w:rPr>
              <w:t>dpmw</w:t>
            </w:r>
            <w:r>
              <w:rPr/>
              <w:t xml:space="preserve"> records the master address for policy and reporting but </w:t>
            </w:r>
            <w:r>
              <w:rPr>
                <w:rStyle w:val="Strong"/>
              </w:rPr>
              <w:t>cannot sign</w:t>
            </w:r>
            <w:r>
              <w:rPr/>
              <w:t xml:space="preserve"> for it.</w:t>
            </w:r>
          </w:p>
        </w:tc>
      </w:tr>
    </w:tbl>
    <w:p>
      <w:pPr>
        <w:pStyle w:val="BodyText"/>
        <w:bidi w:val="0"/>
        <w:jc w:val="left"/>
        <w:rPr/>
      </w:pPr>
      <w:r>
        <w:rPr/>
        <w:t xml:space="preserve">Identifying the master location is a first-run concern. At </w:t>
      </w:r>
      <w:r>
        <w:rPr>
          <w:rStyle w:val="SourceText"/>
        </w:rPr>
        <w:t>POST /v1/vault/init</w:t>
      </w:r>
      <w:r>
        <w:rPr/>
        <w:t xml:space="preserve"> the </w:t>
      </w:r>
      <w:r>
        <w:rPr>
          <w:rStyle w:val="SourceText"/>
        </w:rPr>
        <w:t>dpmw</w:t>
      </w:r>
      <w:r>
        <w:rPr/>
        <w:t xml:space="preserve"> resolves the master from config:</w:t>
      </w:r>
    </w:p>
    <w:p>
      <w:pPr>
        <w:pStyle w:val="BodyText"/>
        <w:numPr>
          <w:ilvl w:val="0"/>
          <w:numId w:val="8"/>
        </w:numPr>
        <w:tabs>
          <w:tab w:val="clear" w:pos="1134"/>
          <w:tab w:val="left" w:pos="709" w:leader="none"/>
        </w:tabs>
        <w:bidi w:val="0"/>
        <w:spacing w:before="0" w:after="0"/>
        <w:ind w:hanging="283" w:left="709"/>
        <w:jc w:val="left"/>
        <w:rPr/>
      </w:pPr>
      <w:r>
        <w:rPr>
          <w:rStyle w:val="SourceText"/>
        </w:rPr>
        <w:t>DPMW_MASTER_LOCATION=internal</w:t>
      </w:r>
      <w:r>
        <w:rPr/>
        <w:t xml:space="preserve"> (default): the vault creates/loads the master key. </w:t>
      </w:r>
      <w:r>
        <w:rPr>
          <w:rStyle w:val="SourceText"/>
        </w:rPr>
        <w:t>MasterInfo.signable = true</w:t>
      </w:r>
      <w:r>
        <w:rPr/>
        <w:t xml:space="preserve">, </w:t>
      </w:r>
      <w:r>
        <w:rPr>
          <w:rStyle w:val="SourceText"/>
        </w:rPr>
        <w:t>index = 0</w:t>
      </w:r>
      <w:r>
        <w:rPr/>
        <w:t xml:space="preserve">. </w:t>
      </w:r>
    </w:p>
    <w:p>
      <w:pPr>
        <w:pStyle w:val="BodyText"/>
        <w:numPr>
          <w:ilvl w:val="0"/>
          <w:numId w:val="8"/>
        </w:numPr>
        <w:tabs>
          <w:tab w:val="clear" w:pos="1134"/>
          <w:tab w:val="left" w:pos="709" w:leader="none"/>
        </w:tabs>
        <w:bidi w:val="0"/>
        <w:ind w:hanging="283" w:left="709"/>
        <w:jc w:val="left"/>
        <w:rPr/>
      </w:pPr>
      <w:r>
        <w:rPr>
          <w:rStyle w:val="SourceText"/>
        </w:rPr>
        <w:t>DPMW_MASTER_LOCATION=external</w:t>
      </w:r>
      <w:r>
        <w:rPr/>
        <w:t xml:space="preserve">: </w:t>
      </w:r>
      <w:r>
        <w:rPr>
          <w:rStyle w:val="SourceText"/>
        </w:rPr>
        <w:t>DPMW_MASTER_ADDRESS</w:t>
      </w:r>
      <w:r>
        <w:rPr/>
        <w:t xml:space="preserve"> (required) is recorded and </w:t>
      </w:r>
      <w:r>
        <w:rPr>
          <w:rStyle w:val="SourceText"/>
        </w:rPr>
        <w:t>DPMW_MASTER_CUSTODIAN</w:t>
      </w:r>
      <w:r>
        <w:rPr/>
        <w:t xml:space="preserve"> (optional label) is stored. No key is derived. </w:t>
      </w:r>
      <w:r>
        <w:rPr>
          <w:rStyle w:val="SourceText"/>
        </w:rPr>
        <w:t>MasterInfo.signable = false</w:t>
      </w:r>
      <w:r>
        <w:rPr/>
        <w:t xml:space="preserve">. </w:t>
      </w:r>
    </w:p>
    <w:p>
      <w:pPr>
        <w:pStyle w:val="BodyText"/>
        <w:bidi w:val="0"/>
        <w:jc w:val="left"/>
        <w:rPr/>
      </w:pPr>
      <w:r>
        <w:rPr/>
        <w:t>Consequences when the master is external:</w:t>
      </w:r>
    </w:p>
    <w:p>
      <w:pPr>
        <w:pStyle w:val="BodyText"/>
        <w:numPr>
          <w:ilvl w:val="0"/>
          <w:numId w:val="9"/>
        </w:numPr>
        <w:tabs>
          <w:tab w:val="clear" w:pos="1134"/>
          <w:tab w:val="left" w:pos="709" w:leader="none"/>
        </w:tabs>
        <w:bidi w:val="0"/>
        <w:spacing w:before="0" w:after="0"/>
        <w:ind w:hanging="283" w:left="709"/>
        <w:jc w:val="left"/>
        <w:rPr/>
      </w:pPr>
      <w:r>
        <w:rPr>
          <w:rStyle w:val="Strong"/>
        </w:rPr>
        <w:t xml:space="preserve">Treasury signing that draws from the master is not performed by the </w:t>
      </w:r>
      <w:r>
        <w:rPr>
          <w:rStyle w:val="SourceText"/>
        </w:rPr>
        <w:t>dpmw</w:t>
      </w:r>
      <w:r>
        <w:rPr>
          <w:rStyle w:val="Strong"/>
        </w:rPr>
        <w:t>.</w:t>
      </w:r>
      <w:r>
        <w:rPr/>
        <w:t xml:space="preserve"> </w:t>
      </w:r>
      <w:r>
        <w:rPr>
          <w:rStyle w:val="SourceText"/>
        </w:rPr>
        <w:t>POST /v1/treasury/rebalance</w:t>
      </w:r>
      <w:r>
        <w:rPr/>
        <w:t xml:space="preserve"> and </w:t>
      </w:r>
      <w:r>
        <w:rPr>
          <w:rStyle w:val="SourceText"/>
        </w:rPr>
        <w:t>POST /v1/treasury/external-withdraw</w:t>
      </w:r>
      <w:r>
        <w:rPr/>
        <w:t xml:space="preserve"> return </w:t>
      </w:r>
      <w:r>
        <w:rPr>
          <w:rStyle w:val="SourceText"/>
        </w:rPr>
        <w:t>MASTER_NOT_SIGNABLE</w:t>
      </w:r>
      <w:r>
        <w:rPr/>
        <w:t xml:space="preserve"> for the master-signed leg; the operator executes that leg through the external custodian. Legs signed </w:t>
      </w:r>
      <w:r>
        <w:rPr>
          <w:rStyle w:val="Strong"/>
        </w:rPr>
        <w:t>from the operational wallet</w:t>
      </w:r>
      <w:r>
        <w:rPr/>
        <w:t xml:space="preserve"> (which is always vault-managed) remain available — e.g. operational → master sweeps. </w:t>
      </w:r>
    </w:p>
    <w:p>
      <w:pPr>
        <w:pStyle w:val="BodyText"/>
        <w:numPr>
          <w:ilvl w:val="0"/>
          <w:numId w:val="9"/>
        </w:numPr>
        <w:tabs>
          <w:tab w:val="clear" w:pos="1134"/>
          <w:tab w:val="left" w:pos="709" w:leader="none"/>
        </w:tabs>
        <w:bidi w:val="0"/>
        <w:spacing w:before="0" w:after="0"/>
        <w:ind w:hanging="283" w:left="709"/>
        <w:jc w:val="left"/>
        <w:rPr/>
      </w:pPr>
      <w:r>
        <w:rPr>
          <w:rStyle w:val="Strong"/>
        </w:rPr>
        <w:t>Deposit/withdrawal monitoring</w:t>
      </w:r>
      <w:r>
        <w:rPr/>
        <w:t xml:space="preserve"> (phase 2) still tracks the master address; it is an observation target regardless of who signs. </w:t>
      </w:r>
    </w:p>
    <w:p>
      <w:pPr>
        <w:pStyle w:val="BodyText"/>
        <w:numPr>
          <w:ilvl w:val="0"/>
          <w:numId w:val="9"/>
        </w:numPr>
        <w:tabs>
          <w:tab w:val="clear" w:pos="1134"/>
          <w:tab w:val="left" w:pos="709" w:leader="none"/>
        </w:tabs>
        <w:bidi w:val="0"/>
        <w:ind w:hanging="283" w:left="709"/>
        <w:jc w:val="left"/>
        <w:rPr/>
      </w:pPr>
      <w:r>
        <w:rPr>
          <w:rStyle w:val="Strong"/>
        </w:rPr>
        <w:t>Policy</w:t>
      </w:r>
      <w:r>
        <w:rPr/>
        <w:t xml:space="preserve"> (</w:t>
      </w:r>
      <w:hyperlink w:anchor="123-treasury-policy-engine">
        <w:r>
          <w:rPr>
            <w:rStyle w:val="Hyperlink"/>
          </w:rPr>
          <w:t>Section 12.3</w:t>
        </w:r>
      </w:hyperlink>
      <w:r>
        <w:rPr/>
        <w:t xml:space="preserve">) still treats the master address as an allowed rebalancing counterparty and as the only source permitted to reach external addresses. </w:t>
      </w:r>
    </w:p>
    <w:p>
      <w:pPr>
        <w:pStyle w:val="BodyText"/>
        <w:bidi w:val="0"/>
        <w:jc w:val="left"/>
        <w:rPr/>
      </w:pPr>
      <w:r>
        <w:rPr/>
        <w:t>This keeps the three-tier model intact while letting the operator custody the highest-value wallet wherever they already trust it.</w:t>
      </w:r>
    </w:p>
    <w:p>
      <w:pPr>
        <w:pStyle w:val="HorizontalLine"/>
        <w:bidi w:val="0"/>
        <w:jc w:val="left"/>
        <w:rPr/>
      </w:pPr>
      <w:r>
        <w:rPr/>
      </w:r>
    </w:p>
    <w:p>
      <w:pPr>
        <w:pStyle w:val="Heading2"/>
        <w:bidi w:val="0"/>
        <w:jc w:val="left"/>
        <w:rPr/>
      </w:pPr>
      <w:r>
        <w:rPr/>
        <w:t>7. dpm-sdk integration and required changes</w:t>
      </w:r>
    </w:p>
    <w:p>
      <w:pPr>
        <w:pStyle w:val="BodyText"/>
        <w:bidi w:val="0"/>
        <w:jc w:val="left"/>
        <w:rPr/>
      </w:pPr>
      <w:r>
        <w:rPr/>
        <w:t xml:space="preserve">The </w:t>
      </w:r>
      <w:r>
        <w:rPr>
          <w:rStyle w:val="SourceText"/>
        </w:rPr>
        <w:t>dpmw</w:t>
      </w:r>
      <w:r>
        <w:rPr/>
        <w:t xml:space="preserve"> reuses </w:t>
      </w:r>
      <w:r>
        <w:rPr>
          <w:rStyle w:val="SourceText"/>
        </w:rPr>
        <w:t>dpm-sdk</w:t>
      </w:r>
      <w:r>
        <w:rPr/>
        <w:t xml:space="preserve"> for all cryptography. The SDK's meta-transaction functions are already </w:t>
      </w:r>
      <w:r>
        <w:rPr>
          <w:rStyle w:val="Strong"/>
        </w:rPr>
        <w:t>stateless</w:t>
      </w:r>
      <w:r>
        <w:rPr/>
        <w:t xml:space="preserve"> and take the signer as a parameter, so one process can drive many addresses without per-address SDK instances. Two things block direct reuse: those functions end by POSTing to </w:t>
      </w:r>
      <w:r>
        <w:rPr>
          <w:rStyle w:val="SourceText"/>
        </w:rPr>
        <w:t>/submit</w:t>
      </w:r>
      <w:r>
        <w:rPr/>
        <w:t xml:space="preserve">, and the primitives they use are not exported. The following changes are required in </w:t>
      </w:r>
      <w:r>
        <w:rPr>
          <w:rStyle w:val="SourceText"/>
        </w:rPr>
        <w:t>dpm-sdk</w:t>
      </w:r>
      <w:r>
        <w:rPr/>
        <w:t>. All are backwards compatible.</w:t>
      </w:r>
    </w:p>
    <w:p>
      <w:pPr>
        <w:pStyle w:val="Heading3"/>
        <w:bidi w:val="0"/>
        <w:jc w:val="left"/>
        <w:rPr/>
      </w:pPr>
      <w:r>
        <w:rPr/>
        <w:t xml:space="preserve">7.1 Split "build" from "submit" in </w:t>
      </w:r>
      <w:r>
        <w:rPr>
          <w:rStyle w:val="SourceText"/>
        </w:rPr>
        <w:t>meta-tx.ts</w:t>
      </w:r>
    </w:p>
    <w:p>
      <w:pPr>
        <w:pStyle w:val="BodyText"/>
        <w:bidi w:val="0"/>
        <w:jc w:val="left"/>
        <w:rPr/>
      </w:pPr>
      <w:r>
        <w:rPr/>
        <w:t xml:space="preserve">Today each function fetches the relay payload, encodes calls, hashes, signs, </w:t>
      </w:r>
      <w:r>
        <w:rPr>
          <w:rStyle w:val="Strong"/>
        </w:rPr>
        <w:t>and POSTs</w:t>
      </w:r>
      <w:r>
        <w:rPr/>
        <w:t>:</w:t>
      </w:r>
    </w:p>
    <w:p>
      <w:pPr>
        <w:pStyle w:val="PreformattedText"/>
        <w:bidi w:val="0"/>
        <w:jc w:val="left"/>
        <w:rPr/>
      </w:pPr>
      <w:r>
        <w:rPr>
          <w:rStyle w:val="SourceText"/>
        </w:rPr>
        <w:t>export async function submitUsdcCtfAllowance(params: {</w:t>
      </w:r>
    </w:p>
    <w:p>
      <w:pPr>
        <w:pStyle w:val="PreformattedText"/>
        <w:bidi w:val="0"/>
        <w:jc w:val="left"/>
        <w:rPr/>
      </w:pPr>
      <w:r>
        <w:rPr>
          <w:rStyle w:val="SourceText"/>
        </w:rPr>
        <w:t xml:space="preserve">  </w:t>
      </w:r>
      <w:r>
        <w:rPr>
          <w:rStyle w:val="SourceText"/>
        </w:rPr>
        <w:t>wallet: InternalWalletPort;</w:t>
      </w:r>
    </w:p>
    <w:p>
      <w:pPr>
        <w:pStyle w:val="PreformattedText"/>
        <w:bidi w:val="0"/>
        <w:jc w:val="left"/>
        <w:rPr/>
      </w:pPr>
      <w:r>
        <w:rPr>
          <w:rStyle w:val="SourceText"/>
        </w:rPr>
        <w:t xml:space="preserve">  </w:t>
      </w:r>
      <w:r>
        <w:rPr>
          <w:rStyle w:val="SourceText"/>
        </w:rPr>
        <w:t>relayerBaseUrl: string;</w:t>
      </w:r>
    </w:p>
    <w:p>
      <w:pPr>
        <w:pStyle w:val="PreformattedText"/>
        <w:bidi w:val="0"/>
        <w:jc w:val="left"/>
        <w:rPr/>
      </w:pPr>
      <w:r>
        <w:rPr>
          <w:rStyle w:val="SourceText"/>
        </w:rPr>
        <w:t xml:space="preserve">  </w:t>
      </w:r>
      <w:r>
        <w:rPr>
          <w:rStyle w:val="SourceText"/>
        </w:rPr>
        <w:t>contractInfo: ContractInfo;</w:t>
      </w:r>
    </w:p>
    <w:p>
      <w:pPr>
        <w:pStyle w:val="PreformattedText"/>
        <w:bidi w:val="0"/>
        <w:jc w:val="left"/>
        <w:rPr/>
      </w:pPr>
      <w:r>
        <w:rPr>
          <w:rStyle w:val="SourceText"/>
        </w:rPr>
        <w:t xml:space="preserve">  </w:t>
      </w:r>
      <w:r>
        <w:rPr>
          <w:rStyle w:val="SourceText"/>
        </w:rPr>
        <w:t>proxyWallet: string;</w:t>
      </w:r>
    </w:p>
    <w:p>
      <w:pPr>
        <w:pStyle w:val="PreformattedText"/>
        <w:bidi w:val="0"/>
        <w:jc w:val="left"/>
        <w:rPr/>
      </w:pPr>
      <w:r>
        <w:rPr>
          <w:rStyle w:val="SourceText"/>
        </w:rPr>
        <w:t xml:space="preserve">  </w:t>
      </w:r>
      <w:r>
        <w:rPr>
          <w:rStyle w:val="SourceText"/>
        </w:rPr>
        <w:t>fetchImpl?: FetchLike;</w:t>
      </w:r>
    </w:p>
    <w:p>
      <w:pPr>
        <w:pStyle w:val="PreformattedText"/>
        <w:bidi w:val="0"/>
        <w:jc w:val="left"/>
        <w:rPr/>
      </w:pPr>
      <w:r>
        <w:rPr>
          <w:rStyle w:val="SourceText"/>
        </w:rPr>
        <w:t xml:space="preserve">  </w:t>
      </w:r>
      <w:r>
        <w:rPr>
          <w:rStyle w:val="SourceText"/>
        </w:rPr>
        <w:t>requestAuth?: RequestAuth;</w:t>
      </w:r>
    </w:p>
    <w:p>
      <w:pPr>
        <w:pStyle w:val="PreformattedText"/>
        <w:bidi w:val="0"/>
        <w:jc w:val="left"/>
        <w:rPr/>
      </w:pPr>
      <w:r>
        <w:rPr>
          <w:rStyle w:val="SourceText"/>
        </w:rPr>
        <w:t>}): Promise&lt;{ transactionID: string; state: string }&gt; {</w:t>
      </w:r>
    </w:p>
    <w:p>
      <w:pPr>
        <w:pStyle w:val="PreformattedText"/>
        <w:bidi w:val="0"/>
        <w:jc w:val="left"/>
        <w:rPr/>
      </w:pPr>
      <w:r>
        <w:rPr>
          <w:rStyle w:val="SourceText"/>
        </w:rPr>
        <w:t xml:space="preserve">  </w:t>
      </w:r>
      <w:r>
        <w:rPr>
          <w:rStyle w:val="SourceText"/>
        </w:rPr>
        <w:t>// ... getRelayPayload → encode calls → createProxyStructHash → personalSign ...</w:t>
      </w:r>
    </w:p>
    <w:p>
      <w:pPr>
        <w:pStyle w:val="PreformattedText"/>
        <w:bidi w:val="0"/>
        <w:jc w:val="left"/>
        <w:rPr/>
      </w:pPr>
      <w:r>
        <w:rPr>
          <w:rStyle w:val="SourceText"/>
        </w:rPr>
        <w:t xml:space="preserve">  </w:t>
      </w:r>
      <w:r>
        <w:rPr>
          <w:rStyle w:val="SourceText"/>
        </w:rPr>
        <w:t>return submitTransaction(/* ... */);</w:t>
      </w:r>
    </w:p>
    <w:p>
      <w:pPr>
        <w:pStyle w:val="PreformattedText"/>
        <w:bidi w:val="0"/>
        <w:spacing w:before="0" w:after="283"/>
        <w:jc w:val="left"/>
        <w:rPr/>
      </w:pPr>
      <w:r>
        <w:rPr>
          <w:rStyle w:val="SourceText"/>
        </w:rPr>
        <w:t>}</w:t>
      </w:r>
    </w:p>
    <w:p>
      <w:pPr>
        <w:pStyle w:val="BodyText"/>
        <w:bidi w:val="0"/>
        <w:jc w:val="left"/>
        <w:rPr/>
      </w:pPr>
      <w:r>
        <w:rPr/>
        <w:t xml:space="preserve">Extract a build-only variant for each, returning the </w:t>
      </w:r>
      <w:r>
        <w:rPr>
          <w:rStyle w:val="SourceText"/>
        </w:rPr>
        <w:t>SubmitTransactionRequest</w:t>
      </w:r>
      <w:r>
        <w:rPr/>
        <w:t xml:space="preserve"> it currently POSTs, and reduce each </w:t>
      </w:r>
      <w:r>
        <w:rPr>
          <w:rStyle w:val="SourceText"/>
        </w:rPr>
        <w:t>submitX()</w:t>
      </w:r>
      <w:r>
        <w:rPr/>
        <w:t xml:space="preserve"> to a two-line wrapper:</w:t>
      </w:r>
    </w:p>
    <w:tbl>
      <w:tblPr>
        <w:tblW w:w="5000" w:type="pct"/>
        <w:jc w:val="left"/>
        <w:tblInd w:w="45" w:type="dxa"/>
        <w:tblLayout w:type="fixed"/>
        <w:tblCellMar>
          <w:top w:w="45" w:type="dxa"/>
          <w:left w:w="45" w:type="dxa"/>
          <w:bottom w:w="45" w:type="dxa"/>
          <w:right w:w="45" w:type="dxa"/>
        </w:tblCellMar>
      </w:tblPr>
      <w:tblGrid>
        <w:gridCol w:w="6147"/>
        <w:gridCol w:w="5191"/>
      </w:tblGrid>
      <w:tr>
        <w:trPr>
          <w:tblHeader w:val="true"/>
        </w:trPr>
        <w:tc>
          <w:tcPr>
            <w:tcW w:w="614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New build-only function</w:t>
            </w:r>
          </w:p>
        </w:tc>
        <w:tc>
          <w:tcPr>
            <w:tcW w:w="51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 xml:space="preserve">Backs </w:t>
            </w:r>
            <w:r>
              <w:rPr>
                <w:rStyle w:val="SourceText"/>
              </w:rPr>
              <w:t>dpmw</w:t>
            </w:r>
            <w:r>
              <w:rPr/>
              <w:t xml:space="preserve"> endpoint</w:t>
            </w:r>
          </w:p>
        </w:tc>
      </w:tr>
      <w:tr>
        <w:trPr/>
        <w:tc>
          <w:tcPr>
            <w:tcW w:w="614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buildUsdcCtfAllowanceTx(params)</w:t>
            </w:r>
          </w:p>
        </w:tc>
        <w:tc>
          <w:tcPr>
            <w:tcW w:w="5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 /v1/meta-tx/allowance</w:t>
            </w:r>
          </w:p>
        </w:tc>
      </w:tr>
      <w:tr>
        <w:trPr/>
        <w:tc>
          <w:tcPr>
            <w:tcW w:w="614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buildRedeemPositionsTx(params)</w:t>
            </w:r>
          </w:p>
        </w:tc>
        <w:tc>
          <w:tcPr>
            <w:tcW w:w="5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 /v1/meta-tx/redeem</w:t>
            </w:r>
          </w:p>
        </w:tc>
      </w:tr>
      <w:tr>
        <w:trPr/>
        <w:tc>
          <w:tcPr>
            <w:tcW w:w="614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buildFundWithdrawTx(params)</w:t>
            </w:r>
          </w:p>
        </w:tc>
        <w:tc>
          <w:tcPr>
            <w:tcW w:w="5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 /v1/meta-tx/withdraw</w:t>
            </w:r>
          </w:p>
        </w:tc>
      </w:tr>
      <w:tr>
        <w:trPr/>
        <w:tc>
          <w:tcPr>
            <w:tcW w:w="6147"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buildSplitPositionTx(params)</w:t>
            </w:r>
          </w:p>
        </w:tc>
        <w:tc>
          <w:tcPr>
            <w:tcW w:w="51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 /v1/meta-tx/split</w:t>
            </w:r>
          </w:p>
        </w:tc>
      </w:tr>
      <w:tr>
        <w:trPr/>
        <w:tc>
          <w:tcPr>
            <w:tcW w:w="6147"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buildMergePositionsTx(params)</w:t>
            </w:r>
          </w:p>
        </w:tc>
        <w:tc>
          <w:tcPr>
            <w:tcW w:w="519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POST /v1/meta-tx/merge</w:t>
            </w:r>
          </w:p>
        </w:tc>
      </w:tr>
    </w:tbl>
    <w:p>
      <w:pPr>
        <w:pStyle w:val="PreformattedText"/>
        <w:bidi w:val="0"/>
        <w:jc w:val="left"/>
        <w:rPr/>
      </w:pPr>
      <w:r>
        <w:rPr>
          <w:rStyle w:val="SourceText"/>
        </w:rPr>
        <w:t>// after refactor — existing behaviour preserved</w:t>
      </w:r>
    </w:p>
    <w:p>
      <w:pPr>
        <w:pStyle w:val="PreformattedText"/>
        <w:bidi w:val="0"/>
        <w:jc w:val="left"/>
        <w:rPr/>
      </w:pPr>
      <w:r>
        <w:rPr>
          <w:rStyle w:val="SourceText"/>
        </w:rPr>
        <w:t>export async function submitUsdcCtfAllowance(params) {</w:t>
      </w:r>
    </w:p>
    <w:p>
      <w:pPr>
        <w:pStyle w:val="PreformattedText"/>
        <w:bidi w:val="0"/>
        <w:jc w:val="left"/>
        <w:rPr/>
      </w:pPr>
      <w:r>
        <w:rPr>
          <w:rStyle w:val="SourceText"/>
        </w:rPr>
        <w:t xml:space="preserve">  </w:t>
      </w:r>
      <w:r>
        <w:rPr>
          <w:rStyle w:val="SourceText"/>
        </w:rPr>
        <w:t>const body = await buildUsdcCtfAllowanceTx(params);</w:t>
      </w:r>
    </w:p>
    <w:p>
      <w:pPr>
        <w:pStyle w:val="PreformattedText"/>
        <w:bidi w:val="0"/>
        <w:jc w:val="left"/>
        <w:rPr/>
      </w:pPr>
      <w:r>
        <w:rPr>
          <w:rStyle w:val="SourceText"/>
        </w:rPr>
        <w:t xml:space="preserve">  </w:t>
      </w:r>
      <w:r>
        <w:rPr>
          <w:rStyle w:val="SourceText"/>
        </w:rPr>
        <w:t>return submitTransaction(body, params.relayerBaseUrl, params.fetchImpl, params.requestAuth);</w:t>
      </w:r>
    </w:p>
    <w:p>
      <w:pPr>
        <w:pStyle w:val="PreformattedText"/>
        <w:bidi w:val="0"/>
        <w:spacing w:before="0" w:after="283"/>
        <w:jc w:val="left"/>
        <w:rPr/>
      </w:pPr>
      <w:r>
        <w:rPr>
          <w:rStyle w:val="SourceText"/>
        </w:rPr>
        <w:t>}</w:t>
      </w:r>
    </w:p>
    <w:p>
      <w:pPr>
        <w:pStyle w:val="BodyText"/>
        <w:bidi w:val="0"/>
        <w:jc w:val="left"/>
        <w:rPr/>
      </w:pPr>
      <w:r>
        <w:rPr>
          <w:rStyle w:val="SourceText"/>
        </w:rPr>
        <w:t>prediction-ui</w:t>
      </w:r>
      <w:r>
        <w:rPr/>
        <w:t xml:space="preserve"> and any other current caller are unaffected because the </w:t>
      </w:r>
      <w:r>
        <w:rPr>
          <w:rStyle w:val="SourceText"/>
        </w:rPr>
        <w:t>submitX()</w:t>
      </w:r>
      <w:r>
        <w:rPr/>
        <w:t xml:space="preserve"> signatures and return types do not change.</w:t>
      </w:r>
    </w:p>
    <w:p>
      <w:pPr>
        <w:pStyle w:val="Heading3"/>
        <w:bidi w:val="0"/>
        <w:jc w:val="left"/>
        <w:rPr/>
      </w:pPr>
      <w:r>
        <w:rPr/>
        <w:t>7.2 Export a pure order typed-data builder</w:t>
      </w:r>
    </w:p>
    <w:p>
      <w:pPr>
        <w:pStyle w:val="BodyText"/>
        <w:bidi w:val="0"/>
        <w:jc w:val="left"/>
        <w:rPr/>
      </w:pPr>
      <w:r>
        <w:rPr/>
        <w:t xml:space="preserve">Order signing lives in </w:t>
      </w:r>
      <w:r>
        <w:rPr>
          <w:rStyle w:val="SourceText"/>
        </w:rPr>
        <w:t>submitOrder</w:t>
      </w:r>
      <w:r>
        <w:rPr/>
        <w:t xml:space="preserve">, which builds the order, signs it, </w:t>
      </w:r>
      <w:r>
        <w:rPr>
          <w:rStyle w:val="Strong"/>
        </w:rPr>
        <w:t>and POSTs to</w:t>
      </w:r>
      <w:r>
        <w:rPr/>
        <w:t xml:space="preserve"> </w:t>
      </w:r>
      <w:r>
        <w:rPr>
          <w:rStyle w:val="SourceText"/>
        </w:rPr>
        <w:t>/order</w:t>
      </w:r>
      <w:r>
        <w:rPr/>
        <w:t xml:space="preserve">. The </w:t>
      </w:r>
      <w:r>
        <w:rPr>
          <w:rStyle w:val="SourceText"/>
        </w:rPr>
        <w:t>signOrder</w:t>
      </w:r>
      <w:r>
        <w:rPr/>
        <w:t xml:space="preserve"> helper and the </w:t>
      </w:r>
      <w:r>
        <w:rPr>
          <w:rStyle w:val="SourceText"/>
        </w:rPr>
        <w:t>ORDER_EIP712_TYPES</w:t>
      </w:r>
      <w:r>
        <w:rPr/>
        <w:t xml:space="preserve"> typed-data assembly are module-private:</w:t>
      </w:r>
    </w:p>
    <w:p>
      <w:pPr>
        <w:pStyle w:val="PreformattedText"/>
        <w:bidi w:val="0"/>
        <w:jc w:val="left"/>
        <w:rPr/>
      </w:pPr>
      <w:r>
        <w:rPr>
          <w:rStyle w:val="SourceText"/>
        </w:rPr>
        <w:t>async function signOrder(</w:t>
      </w:r>
    </w:p>
    <w:p>
      <w:pPr>
        <w:pStyle w:val="PreformattedText"/>
        <w:bidi w:val="0"/>
        <w:jc w:val="left"/>
        <w:rPr/>
      </w:pPr>
      <w:r>
        <w:rPr>
          <w:rStyle w:val="SourceText"/>
        </w:rPr>
        <w:t xml:space="preserve">  </w:t>
      </w:r>
      <w:r>
        <w:rPr>
          <w:rStyle w:val="SourceText"/>
        </w:rPr>
        <w:t>wallet: InternalWalletPort,</w:t>
      </w:r>
    </w:p>
    <w:p>
      <w:pPr>
        <w:pStyle w:val="PreformattedText"/>
        <w:bidi w:val="0"/>
        <w:jc w:val="left"/>
        <w:rPr/>
      </w:pPr>
      <w:r>
        <w:rPr>
          <w:rStyle w:val="SourceText"/>
        </w:rPr>
        <w:t xml:space="preserve">  </w:t>
      </w:r>
      <w:r>
        <w:rPr>
          <w:rStyle w:val="SourceText"/>
        </w:rPr>
        <w:t>makerSigner: string,</w:t>
      </w:r>
    </w:p>
    <w:p>
      <w:pPr>
        <w:pStyle w:val="PreformattedText"/>
        <w:bidi w:val="0"/>
        <w:jc w:val="left"/>
        <w:rPr/>
      </w:pPr>
      <w:r>
        <w:rPr>
          <w:rStyle w:val="SourceText"/>
        </w:rPr>
        <w:t xml:space="preserve">  </w:t>
      </w:r>
      <w:r>
        <w:rPr>
          <w:rStyle w:val="SourceText"/>
        </w:rPr>
        <w:t>chainId: number,</w:t>
      </w:r>
    </w:p>
    <w:p>
      <w:pPr>
        <w:pStyle w:val="PreformattedText"/>
        <w:bidi w:val="0"/>
        <w:jc w:val="left"/>
        <w:rPr/>
      </w:pPr>
      <w:r>
        <w:rPr>
          <w:rStyle w:val="SourceText"/>
        </w:rPr>
        <w:t xml:space="preserve">  </w:t>
      </w:r>
      <w:r>
        <w:rPr>
          <w:rStyle w:val="SourceText"/>
        </w:rPr>
        <w:t>exchangeAddress: string,</w:t>
      </w:r>
    </w:p>
    <w:p>
      <w:pPr>
        <w:pStyle w:val="PreformattedText"/>
        <w:bidi w:val="0"/>
        <w:jc w:val="left"/>
        <w:rPr/>
      </w:pPr>
      <w:r>
        <w:rPr>
          <w:rStyle w:val="SourceText"/>
        </w:rPr>
        <w:t xml:space="preserve">  </w:t>
      </w:r>
      <w:r>
        <w:rPr>
          <w:rStyle w:val="SourceText"/>
        </w:rPr>
        <w:t>order: OrderFields,</w:t>
      </w:r>
    </w:p>
    <w:p>
      <w:pPr>
        <w:pStyle w:val="PreformattedText"/>
        <w:bidi w:val="0"/>
        <w:jc w:val="left"/>
        <w:rPr/>
      </w:pPr>
      <w:r>
        <w:rPr>
          <w:rStyle w:val="SourceText"/>
        </w:rPr>
        <w:t>): Promise&lt;string&gt; {</w:t>
      </w:r>
    </w:p>
    <w:p>
      <w:pPr>
        <w:pStyle w:val="PreformattedText"/>
        <w:bidi w:val="0"/>
        <w:jc w:val="left"/>
        <w:rPr/>
      </w:pPr>
      <w:r>
        <w:rPr>
          <w:rStyle w:val="SourceText"/>
        </w:rPr>
        <w:t xml:space="preserve">  </w:t>
      </w:r>
      <w:r>
        <w:rPr>
          <w:rStyle w:val="SourceText"/>
        </w:rPr>
        <w:t>const typedData = {</w:t>
      </w:r>
    </w:p>
    <w:p>
      <w:pPr>
        <w:pStyle w:val="PreformattedText"/>
        <w:bidi w:val="0"/>
        <w:jc w:val="left"/>
        <w:rPr/>
      </w:pPr>
      <w:r>
        <w:rPr>
          <w:rStyle w:val="SourceText"/>
        </w:rPr>
        <w:t xml:space="preserve">    </w:t>
      </w:r>
      <w:r>
        <w:rPr>
          <w:rStyle w:val="SourceText"/>
        </w:rPr>
        <w:t>types: ORDER_EIP712_TYPES,</w:t>
      </w:r>
    </w:p>
    <w:p>
      <w:pPr>
        <w:pStyle w:val="PreformattedText"/>
        <w:bidi w:val="0"/>
        <w:jc w:val="left"/>
        <w:rPr/>
      </w:pPr>
      <w:r>
        <w:rPr>
          <w:rStyle w:val="SourceText"/>
        </w:rPr>
        <w:t xml:space="preserve">    </w:t>
      </w:r>
      <w:r>
        <w:rPr>
          <w:rStyle w:val="SourceText"/>
        </w:rPr>
        <w:t>domain: {</w:t>
      </w:r>
    </w:p>
    <w:p>
      <w:pPr>
        <w:pStyle w:val="PreformattedText"/>
        <w:bidi w:val="0"/>
        <w:jc w:val="left"/>
        <w:rPr/>
      </w:pPr>
      <w:r>
        <w:rPr>
          <w:rStyle w:val="SourceText"/>
        </w:rPr>
        <w:t xml:space="preserve">      </w:t>
      </w:r>
      <w:r>
        <w:rPr>
          <w:rStyle w:val="SourceText"/>
        </w:rPr>
        <w:t>name: "Polymarket CTF Exchange",</w:t>
      </w:r>
    </w:p>
    <w:p>
      <w:pPr>
        <w:pStyle w:val="PreformattedText"/>
        <w:bidi w:val="0"/>
        <w:jc w:val="left"/>
        <w:rPr/>
      </w:pPr>
      <w:r>
        <w:rPr>
          <w:rStyle w:val="SourceText"/>
        </w:rPr>
        <w:t xml:space="preserve">      </w:t>
      </w:r>
      <w:r>
        <w:rPr>
          <w:rStyle w:val="SourceText"/>
        </w:rPr>
        <w:t>version: "1",</w:t>
      </w:r>
    </w:p>
    <w:p>
      <w:pPr>
        <w:pStyle w:val="PreformattedText"/>
        <w:bidi w:val="0"/>
        <w:jc w:val="left"/>
        <w:rPr/>
      </w:pPr>
      <w:r>
        <w:rPr>
          <w:rStyle w:val="SourceText"/>
        </w:rPr>
        <w:t xml:space="preserve">      </w:t>
      </w:r>
      <w:r>
        <w:rPr>
          <w:rStyle w:val="SourceText"/>
        </w:rPr>
        <w:t>chainId,</w:t>
      </w:r>
    </w:p>
    <w:p>
      <w:pPr>
        <w:pStyle w:val="PreformattedText"/>
        <w:bidi w:val="0"/>
        <w:jc w:val="left"/>
        <w:rPr/>
      </w:pPr>
      <w:r>
        <w:rPr>
          <w:rStyle w:val="SourceText"/>
        </w:rPr>
        <w:t xml:space="preserve">      </w:t>
      </w:r>
      <w:r>
        <w:rPr>
          <w:rStyle w:val="SourceText"/>
        </w:rPr>
        <w:t>verifyingContract: exchangeAddress,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primaryType: "Order",</w:t>
      </w:r>
    </w:p>
    <w:p>
      <w:pPr>
        <w:pStyle w:val="PreformattedText"/>
        <w:bidi w:val="0"/>
        <w:jc w:val="left"/>
        <w:rPr/>
      </w:pPr>
      <w:r>
        <w:rPr>
          <w:rStyle w:val="SourceText"/>
        </w:rPr>
        <w:t xml:space="preserve">    </w:t>
      </w:r>
      <w:r>
        <w:rPr>
          <w:rStyle w:val="SourceText"/>
        </w:rPr>
        <w:t>message: orderMessage(order),</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return wallet.signTypedDataV4(makerSigner, JSON.stringify(typedData));</w:t>
      </w:r>
    </w:p>
    <w:p>
      <w:pPr>
        <w:pStyle w:val="PreformattedText"/>
        <w:bidi w:val="0"/>
        <w:spacing w:before="0" w:after="283"/>
        <w:jc w:val="left"/>
        <w:rPr/>
      </w:pPr>
      <w:r>
        <w:rPr>
          <w:rStyle w:val="SourceText"/>
        </w:rPr>
        <w:t>}</w:t>
      </w:r>
    </w:p>
    <w:p>
      <w:pPr>
        <w:pStyle w:val="BodyText"/>
        <w:bidi w:val="0"/>
        <w:jc w:val="left"/>
        <w:rPr/>
      </w:pPr>
      <w:r>
        <w:rPr/>
        <w:t xml:space="preserve">Add and export a </w:t>
      </w:r>
      <w:r>
        <w:rPr>
          <w:rStyle w:val="Strong"/>
        </w:rPr>
        <w:t>pure</w:t>
      </w:r>
      <w:r>
        <w:rPr/>
        <w:t xml:space="preserve"> </w:t>
      </w:r>
      <w:r>
        <w:rPr>
          <w:rStyle w:val="SourceText"/>
        </w:rPr>
        <w:t>buildOrderTypedData(order, chainId, exchangeAddress, domainName)</w:t>
      </w:r>
      <w:r>
        <w:rPr/>
        <w:t xml:space="preserve"> that returns the typed-data object without signing or network I/O, alongside the already-public </w:t>
      </w:r>
      <w:r>
        <w:rPr>
          <w:rStyle w:val="SourceText"/>
        </w:rPr>
        <w:t>buildOrderFields</w:t>
      </w:r>
      <w:r>
        <w:rPr/>
        <w:t xml:space="preserve">. The </w:t>
      </w:r>
      <w:r>
        <w:rPr>
          <w:rStyle w:val="SourceText"/>
        </w:rPr>
        <w:t>dpmw</w:t>
      </w:r>
      <w:r>
        <w:rPr/>
        <w:t xml:space="preserve"> then builds the fields, gets the typed data, and signs through the vault.</w:t>
      </w:r>
    </w:p>
    <w:p>
      <w:pPr>
        <w:pStyle w:val="Heading3"/>
        <w:bidi w:val="0"/>
        <w:jc w:val="left"/>
        <w:rPr/>
      </w:pPr>
      <w:r>
        <w:rPr/>
        <w:t>7.3 Change the EIP-712 domain name</w:t>
      </w:r>
    </w:p>
    <w:p>
      <w:pPr>
        <w:pStyle w:val="BodyText"/>
        <w:bidi w:val="0"/>
        <w:jc w:val="left"/>
        <w:rPr/>
      </w:pPr>
      <w:r>
        <w:rPr/>
        <w:t xml:space="preserve">Change </w:t>
      </w:r>
      <w:r>
        <w:rPr>
          <w:rStyle w:val="SourceText"/>
        </w:rPr>
        <w:t>"Polymarket CTF Exchange"</w:t>
      </w:r>
      <w:r>
        <w:rPr/>
        <w:t xml:space="preserve"> to </w:t>
      </w:r>
      <w:r>
        <w:rPr>
          <w:rStyle w:val="SourceText"/>
        </w:rPr>
        <w:t>"DPM CTF Exchange"</w:t>
      </w:r>
      <w:r>
        <w:rPr/>
        <w:t xml:space="preserve"> (line 238 above), ideally exposed as a parameter/config value rather than a literal so both the SDK and the </w:t>
      </w:r>
      <w:r>
        <w:rPr>
          <w:rStyle w:val="SourceText"/>
        </w:rPr>
        <w:t>dpmw</w:t>
      </w:r>
      <w:r>
        <w:rPr/>
        <w:t xml:space="preserve"> read it from one place. Until this lands, an order signed by </w:t>
      </w:r>
      <w:r>
        <w:rPr>
          <w:rStyle w:val="SourceText"/>
        </w:rPr>
        <w:t>dpm-sdk</w:t>
      </w:r>
      <w:r>
        <w:rPr/>
        <w:t xml:space="preserve"> and an order signed by the </w:t>
      </w:r>
      <w:r>
        <w:rPr>
          <w:rStyle w:val="SourceText"/>
        </w:rPr>
        <w:t>dpmw</w:t>
      </w:r>
      <w:r>
        <w:rPr/>
        <w:t xml:space="preserve"> produce </w:t>
      </w:r>
      <w:r>
        <w:rPr>
          <w:rStyle w:val="Strong"/>
        </w:rPr>
        <w:t>different digests</w:t>
      </w:r>
      <w:r>
        <w:rPr/>
        <w:t xml:space="preserve"> for identical inputs — one of them will be rejected by the exchange. The </w:t>
      </w:r>
      <w:r>
        <w:rPr>
          <w:rStyle w:val="SourceText"/>
        </w:rPr>
        <w:t>dpmw</w:t>
      </w:r>
      <w:r>
        <w:rPr/>
        <w:t xml:space="preserve"> keeps the name in config with </w:t>
      </w:r>
      <w:r>
        <w:rPr>
          <w:rStyle w:val="SourceText"/>
        </w:rPr>
        <w:t>"DPM CTF Exchange"</w:t>
      </w:r>
      <w:r>
        <w:rPr/>
        <w:t xml:space="preserve"> as the default and runs a </w:t>
      </w:r>
      <w:r>
        <w:rPr>
          <w:rStyle w:val="Strong"/>
        </w:rPr>
        <w:t>startup self-check</w:t>
      </w:r>
      <w:r>
        <w:rPr/>
        <w:t xml:space="preserve"> (see </w:t>
      </w:r>
      <w:hyperlink w:anchor="92-order-eip-712-worked-example-and-self">
        <w:r>
          <w:rPr>
            <w:rStyle w:val="Hyperlink"/>
          </w:rPr>
          <w:t>Section 9.2</w:t>
        </w:r>
      </w:hyperlink>
      <w:r>
        <w:rPr/>
        <w:t>).</w:t>
      </w:r>
    </w:p>
    <w:p>
      <w:pPr>
        <w:pStyle w:val="Heading3"/>
        <w:bidi w:val="0"/>
        <w:jc w:val="left"/>
        <w:rPr/>
      </w:pPr>
      <w:r>
        <w:rPr/>
        <w:t xml:space="preserve">7.4 Injecting </w:t>
      </w:r>
      <w:r>
        <w:rPr>
          <w:rStyle w:val="SourceText"/>
        </w:rPr>
        <w:t>X-API-Key</w:t>
      </w:r>
      <w:r>
        <w:rPr/>
        <w:t xml:space="preserve"> without an SDK change</w:t>
      </w:r>
    </w:p>
    <w:p>
      <w:pPr>
        <w:pStyle w:val="BodyText"/>
        <w:bidi w:val="0"/>
        <w:jc w:val="left"/>
        <w:rPr/>
      </w:pPr>
      <w:r>
        <w:rPr>
          <w:rStyle w:val="SourceText"/>
        </w:rPr>
        <w:t>relayer-api</w:t>
      </w:r>
      <w:r>
        <w:rPr/>
        <w:t xml:space="preserve"> gates every route on </w:t>
      </w:r>
      <w:r>
        <w:rPr>
          <w:rStyle w:val="SourceText"/>
        </w:rPr>
        <w:t>X-API-Key</w:t>
      </w:r>
      <w:r>
        <w:rPr/>
        <w:t xml:space="preserve">. </w:t>
      </w:r>
      <w:r>
        <w:rPr>
          <w:rStyle w:val="SourceText"/>
        </w:rPr>
        <w:t>RequestAuth</w:t>
      </w:r>
      <w:r>
        <w:rPr/>
        <w:t xml:space="preserve"> currently supports only </w:t>
      </w:r>
      <w:r>
        <w:rPr>
          <w:rStyle w:val="SourceText"/>
        </w:rPr>
        <w:t>jwt</w:t>
      </w:r>
      <w:r>
        <w:rPr/>
        <w:t xml:space="preserve">, </w:t>
      </w:r>
      <w:r>
        <w:rPr>
          <w:rStyle w:val="SourceText"/>
        </w:rPr>
        <w:t>lp</w:t>
      </w:r>
      <w:r>
        <w:rPr/>
        <w:t xml:space="preserve">, and </w:t>
      </w:r>
      <w:r>
        <w:rPr>
          <w:rStyle w:val="SourceText"/>
        </w:rPr>
        <w:t>none</w:t>
      </w:r>
      <w:r>
        <w:rPr/>
        <w:t xml:space="preserve">. No SDK change is needed: </w:t>
      </w:r>
      <w:r>
        <w:rPr>
          <w:rStyle w:val="SourceText"/>
        </w:rPr>
        <w:t>getRelayPayload</w:t>
      </w:r>
      <w:r>
        <w:rPr/>
        <w:t xml:space="preserve"> already accepts a </w:t>
      </w:r>
      <w:r>
        <w:rPr>
          <w:rStyle w:val="SourceText"/>
        </w:rPr>
        <w:t>fetchImpl</w:t>
      </w:r>
      <w:r>
        <w:rPr/>
        <w:t xml:space="preserve">, so the </w:t>
      </w:r>
      <w:r>
        <w:rPr>
          <w:rStyle w:val="SourceText"/>
        </w:rPr>
        <w:t>dpmw</w:t>
      </w:r>
      <w:r>
        <w:rPr/>
        <w:t xml:space="preserve"> injects a fetch wrapper that adds the header.</w:t>
      </w:r>
    </w:p>
    <w:p>
      <w:pPr>
        <w:pStyle w:val="PreformattedText"/>
        <w:bidi w:val="0"/>
        <w:jc w:val="left"/>
        <w:rPr/>
      </w:pPr>
      <w:r>
        <w:rPr>
          <w:rStyle w:val="SourceText"/>
        </w:rPr>
        <w:t>const apiKeyFetch: typeof fetch = (input, init = {}) =&gt; {</w:t>
      </w:r>
    </w:p>
    <w:p>
      <w:pPr>
        <w:pStyle w:val="PreformattedText"/>
        <w:bidi w:val="0"/>
        <w:jc w:val="left"/>
        <w:rPr/>
      </w:pPr>
      <w:r>
        <w:rPr>
          <w:rStyle w:val="SourceText"/>
        </w:rPr>
        <w:t xml:space="preserve">  </w:t>
      </w:r>
      <w:r>
        <w:rPr>
          <w:rStyle w:val="SourceText"/>
        </w:rPr>
        <w:t>const headers = new Headers(init.headers);</w:t>
      </w:r>
    </w:p>
    <w:p>
      <w:pPr>
        <w:pStyle w:val="PreformattedText"/>
        <w:bidi w:val="0"/>
        <w:jc w:val="left"/>
        <w:rPr/>
      </w:pPr>
      <w:r>
        <w:rPr>
          <w:rStyle w:val="SourceText"/>
        </w:rPr>
        <w:t xml:space="preserve">  </w:t>
      </w:r>
      <w:r>
        <w:rPr>
          <w:rStyle w:val="SourceText"/>
        </w:rPr>
        <w:t>headers.set("X-API-Key", config.relayerApiKey);</w:t>
      </w:r>
    </w:p>
    <w:p>
      <w:pPr>
        <w:pStyle w:val="PreformattedText"/>
        <w:bidi w:val="0"/>
        <w:jc w:val="left"/>
        <w:rPr/>
      </w:pPr>
      <w:r>
        <w:rPr>
          <w:rStyle w:val="SourceText"/>
        </w:rPr>
        <w:t xml:space="preserve">  </w:t>
      </w:r>
      <w:r>
        <w:rPr>
          <w:rStyle w:val="SourceText"/>
        </w:rPr>
        <w:t>return fetch(input, { ...init, headers });</w:t>
      </w:r>
    </w:p>
    <w:p>
      <w:pPr>
        <w:pStyle w:val="PreformattedText"/>
        <w:bidi w:val="0"/>
        <w:jc w:val="left"/>
        <w:rPr/>
      </w:pPr>
      <w:r>
        <w:rPr>
          <w:rStyle w:val="SourceText"/>
        </w:rPr>
        <w:t>};</w:t>
      </w:r>
    </w:p>
    <w:p>
      <w:pPr>
        <w:pStyle w:val="PreformattedText"/>
        <w:bidi w:val="0"/>
        <w:spacing w:before="0" w:after="283"/>
        <w:jc w:val="left"/>
        <w:rPr/>
      </w:pPr>
      <w:r>
        <w:rPr>
          <w:rStyle w:val="SourceText"/>
        </w:rPr>
        <w:t>// passed as fetchImpl into buildUsdcCtfAllowanceTx(...) etc.</w:t>
      </w:r>
    </w:p>
    <w:p>
      <w:pPr>
        <w:pStyle w:val="BodyText"/>
        <w:bidi w:val="0"/>
        <w:jc w:val="left"/>
        <w:rPr/>
      </w:pPr>
      <w:r>
        <w:rPr/>
        <w:t xml:space="preserve">Optionally, </w:t>
      </w:r>
      <w:r>
        <w:rPr>
          <w:rStyle w:val="SourceText"/>
        </w:rPr>
        <w:t>dpm-sdk</w:t>
      </w:r>
      <w:r>
        <w:rPr/>
        <w:t xml:space="preserve"> may add </w:t>
      </w:r>
      <w:r>
        <w:rPr>
          <w:rStyle w:val="SourceText"/>
        </w:rPr>
        <w:t>{ mode: "apiKey"; apiKey: string }</w:t>
      </w:r>
      <w:r>
        <w:rPr/>
        <w:t xml:space="preserve"> to </w:t>
      </w:r>
      <w:r>
        <w:rPr>
          <w:rStyle w:val="SourceText"/>
        </w:rPr>
        <w:t>RequestAuth</w:t>
      </w:r>
      <w:r>
        <w:rPr/>
        <w:t xml:space="preserve"> for tidiness. This is a nice-to-have, not a requirement.</w:t>
      </w:r>
    </w:p>
    <w:p>
      <w:pPr>
        <w:pStyle w:val="Heading3"/>
        <w:bidi w:val="0"/>
        <w:jc w:val="left"/>
        <w:rPr/>
      </w:pPr>
      <w:r>
        <w:rPr/>
        <w:t>7.5 Widen the export surface (server-only entry)</w:t>
      </w:r>
    </w:p>
    <w:p>
      <w:pPr>
        <w:pStyle w:val="BodyText"/>
        <w:bidi w:val="0"/>
        <w:jc w:val="left"/>
        <w:rPr/>
      </w:pPr>
      <w:r>
        <w:rPr/>
        <w:t xml:space="preserve">The </w:t>
      </w:r>
      <w:r>
        <w:rPr>
          <w:rStyle w:val="SourceText"/>
        </w:rPr>
        <w:t>dpmw</w:t>
      </w:r>
      <w:r>
        <w:rPr/>
        <w:t xml:space="preserve"> needs </w:t>
      </w:r>
      <w:r>
        <w:rPr>
          <w:rStyle w:val="SourceText"/>
        </w:rPr>
        <w:t>InternalWalletPort</w:t>
      </w:r>
      <w:r>
        <w:rPr/>
        <w:t xml:space="preserve">, the new </w:t>
      </w:r>
      <w:r>
        <w:rPr>
          <w:rStyle w:val="SourceText"/>
        </w:rPr>
        <w:t>buildX</w:t>
      </w:r>
      <w:r>
        <w:rPr/>
        <w:t xml:space="preserve"> functions, the </w:t>
      </w:r>
      <w:r>
        <w:rPr>
          <w:rStyle w:val="SourceText"/>
        </w:rPr>
        <w:t>proxy-encoding</w:t>
      </w:r>
      <w:r>
        <w:rPr/>
        <w:t xml:space="preserve"> primitives, </w:t>
      </w:r>
      <w:r>
        <w:rPr>
          <w:rStyle w:val="SourceText"/>
        </w:rPr>
        <w:t>buildOrderFields</w:t>
      </w:r>
      <w:r>
        <w:rPr/>
        <w:t xml:space="preserve"> / </w:t>
      </w:r>
      <w:r>
        <w:rPr>
          <w:rStyle w:val="SourceText"/>
        </w:rPr>
        <w:t>buildOrderTypedData</w:t>
      </w:r>
      <w:r>
        <w:rPr/>
        <w:t xml:space="preserve">, and </w:t>
      </w:r>
      <w:r>
        <w:rPr>
          <w:rStyle w:val="SourceText"/>
        </w:rPr>
        <w:t>getRelayPayload</w:t>
      </w:r>
      <w:r>
        <w:rPr/>
        <w:t xml:space="preserve">. These should be exported from a </w:t>
      </w:r>
      <w:r>
        <w:rPr>
          <w:rStyle w:val="Strong"/>
        </w:rPr>
        <w:t>new server-only subpath entry</w:t>
      </w:r>
      <w:r>
        <w:rPr/>
        <w:t xml:space="preserve"> (e.g. </w:t>
      </w:r>
      <w:r>
        <w:rPr>
          <w:rStyle w:val="SourceText"/>
        </w:rPr>
        <w:t>@inabit-com/dpm-sdk/server</w:t>
      </w:r>
      <w:r>
        <w:rPr/>
        <w:t xml:space="preserve">). The root </w:t>
      </w:r>
      <w:r>
        <w:rPr>
          <w:rStyle w:val="SourceText"/>
        </w:rPr>
        <w:t>.</w:t>
      </w:r>
      <w:r>
        <w:rPr/>
        <w:t xml:space="preserve"> entry re-exports the Privy and Magic facades, which would drag </w:t>
      </w:r>
      <w:r>
        <w:rPr>
          <w:rStyle w:val="SourceText"/>
        </w:rPr>
        <w:t>@privy-io/react-auth</w:t>
      </w:r>
      <w:r>
        <w:rPr/>
        <w:t xml:space="preserve"> and React into a Node container. The existing </w:t>
      </w:r>
      <w:r>
        <w:rPr>
          <w:rStyle w:val="SourceText"/>
        </w:rPr>
        <w:t>./lp</w:t>
      </w:r>
      <w:r>
        <w:rPr/>
        <w:t xml:space="preserve"> entry is already documented as server-side and is an acceptable fallback if a new entry is not added.</w:t>
      </w:r>
    </w:p>
    <w:p>
      <w:pPr>
        <w:pStyle w:val="Heading3"/>
        <w:bidi w:val="0"/>
        <w:jc w:val="left"/>
        <w:rPr/>
      </w:pPr>
      <w:r>
        <w:rPr/>
        <w:t>7.6 Minor: argument-order inconsistency</w:t>
      </w:r>
    </w:p>
    <w:p>
      <w:pPr>
        <w:pStyle w:val="BodyText"/>
        <w:bidi w:val="0"/>
        <w:jc w:val="left"/>
        <w:rPr/>
      </w:pPr>
      <w:r>
        <w:rPr/>
        <w:t xml:space="preserve">Worth noting for whoever implements the adapter: </w:t>
      </w:r>
      <w:r>
        <w:rPr>
          <w:rStyle w:val="SourceText"/>
        </w:rPr>
        <w:t>InternalWalletPort.signTypedDataV4(address, json)</w:t>
      </w:r>
      <w:r>
        <w:rPr/>
        <w:t xml:space="preserve"> takes the address first, while </w:t>
      </w:r>
      <w:r>
        <w:rPr>
          <w:rStyle w:val="SourceText"/>
        </w:rPr>
        <w:t>personalSign(message, address)</w:t>
      </w:r>
      <w:r>
        <w:rPr/>
        <w:t xml:space="preserve"> takes it second. The adapter must not transpose them.</w:t>
      </w:r>
    </w:p>
    <w:p>
      <w:pPr>
        <w:pStyle w:val="PreformattedText"/>
        <w:bidi w:val="0"/>
        <w:jc w:val="left"/>
        <w:rPr/>
      </w:pPr>
      <w:r>
        <w:rPr>
          <w:rStyle w:val="SourceText"/>
        </w:rPr>
        <w:t>export interface InternalWalletPort {</w:t>
      </w:r>
    </w:p>
    <w:p>
      <w:pPr>
        <w:pStyle w:val="PreformattedText"/>
        <w:bidi w:val="0"/>
        <w:jc w:val="left"/>
        <w:rPr/>
      </w:pPr>
      <w:r>
        <w:rPr>
          <w:rStyle w:val="SourceText"/>
        </w:rPr>
        <w:t xml:space="preserve">  </w:t>
      </w:r>
      <w:r>
        <w:rPr>
          <w:rStyle w:val="SourceText"/>
        </w:rPr>
        <w:t>getEoaAddress(): Promise&lt;string&gt;;</w:t>
      </w:r>
    </w:p>
    <w:p>
      <w:pPr>
        <w:pStyle w:val="PreformattedText"/>
        <w:bidi w:val="0"/>
        <w:jc w:val="left"/>
        <w:rPr/>
      </w:pPr>
      <w:r>
        <w:rPr>
          <w:rStyle w:val="SourceText"/>
        </w:rPr>
        <w:t xml:space="preserve">  </w:t>
      </w:r>
      <w:r>
        <w:rPr>
          <w:rStyle w:val="SourceText"/>
        </w:rPr>
        <w:t>signTypedDataV4(address: string, typedDataJson: string): Promise&lt;string&gt;;</w:t>
      </w:r>
    </w:p>
    <w:p>
      <w:pPr>
        <w:pStyle w:val="PreformattedText"/>
        <w:bidi w:val="0"/>
        <w:jc w:val="left"/>
        <w:rPr/>
      </w:pPr>
      <w:r>
        <w:rPr>
          <w:rStyle w:val="SourceText"/>
        </w:rPr>
        <w:t xml:space="preserve">  </w:t>
      </w:r>
      <w:r>
        <w:rPr>
          <w:rStyle w:val="SourceText"/>
        </w:rPr>
        <w:t>personalSign(message: string, address: string): Promise&lt;string&gt;;</w:t>
      </w:r>
    </w:p>
    <w:p>
      <w:pPr>
        <w:pStyle w:val="PreformattedText"/>
        <w:bidi w:val="0"/>
        <w:spacing w:before="0" w:after="283"/>
        <w:jc w:val="left"/>
        <w:rPr/>
      </w:pPr>
      <w:r>
        <w:rPr>
          <w:rStyle w:val="SourceText"/>
        </w:rPr>
        <w:t>}</w:t>
      </w:r>
    </w:p>
    <w:p>
      <w:pPr>
        <w:pStyle w:val="Heading3"/>
        <w:bidi w:val="0"/>
        <w:jc w:val="left"/>
        <w:rPr/>
      </w:pPr>
      <w:r>
        <w:rPr/>
        <w:t xml:space="preserve">7.7 The </w:t>
      </w:r>
      <w:r>
        <w:rPr>
          <w:rStyle w:val="SourceText"/>
        </w:rPr>
        <w:t>VaultWalletAdapter</w:t>
      </w:r>
    </w:p>
    <w:p>
      <w:pPr>
        <w:pStyle w:val="BodyText"/>
        <w:bidi w:val="0"/>
        <w:jc w:val="left"/>
        <w:rPr/>
      </w:pPr>
      <w:r>
        <w:rPr/>
        <w:t xml:space="preserve">The SDK's </w:t>
      </w:r>
      <w:r>
        <w:rPr>
          <w:rStyle w:val="SourceText"/>
        </w:rPr>
        <w:t>InternalWalletPort</w:t>
      </w:r>
      <w:r>
        <w:rPr/>
        <w:t xml:space="preserve"> models a </w:t>
      </w:r>
      <w:r>
        <w:rPr>
          <w:rStyle w:val="Strong"/>
        </w:rPr>
        <w:t>single</w:t>
      </w:r>
      <w:r>
        <w:rPr/>
        <w:t xml:space="preserve"> connected wallet (its </w:t>
      </w:r>
      <w:r>
        <w:rPr>
          <w:rStyle w:val="SourceText"/>
        </w:rPr>
        <w:t>getEoaAddress()</w:t>
      </w:r>
      <w:r>
        <w:rPr/>
        <w:t xml:space="preserve"> takes no argument; the EOA implementation ignores the </w:t>
      </w:r>
      <w:r>
        <w:rPr>
          <w:rStyle w:val="SourceText"/>
        </w:rPr>
        <w:t>address</w:t>
      </w:r>
      <w:r>
        <w:rPr/>
        <w:t xml:space="preserve"> parameter). The </w:t>
      </w:r>
      <w:r>
        <w:rPr>
          <w:rStyle w:val="SourceText"/>
        </w:rPr>
        <w:t>dpmw</w:t>
      </w:r>
      <w:r>
        <w:rPr/>
        <w:t xml:space="preserve">'s </w:t>
      </w:r>
      <w:r>
        <w:rPr>
          <w:rStyle w:val="SourceText"/>
        </w:rPr>
        <w:t>KeyVault</w:t>
      </w:r>
      <w:r>
        <w:rPr/>
        <w:t xml:space="preserve"> is </w:t>
      </w:r>
      <w:r>
        <w:rPr>
          <w:rStyle w:val="Strong"/>
        </w:rPr>
        <w:t>multi-wallet</w:t>
      </w:r>
      <w:r>
        <w:rPr/>
        <w:t>. A thin adapter binds one address per request and bridges the two:</w:t>
      </w:r>
    </w:p>
    <w:p>
      <w:pPr>
        <w:pStyle w:val="PreformattedText"/>
        <w:bidi w:val="0"/>
        <w:jc w:val="left"/>
        <w:rPr/>
      </w:pPr>
      <w:r>
        <w:rPr>
          <w:rStyle w:val="SourceText"/>
        </w:rPr>
        <w:t>class VaultWalletAdapter implements InternalWalletPort {</w:t>
      </w:r>
    </w:p>
    <w:p>
      <w:pPr>
        <w:pStyle w:val="PreformattedText"/>
        <w:bidi w:val="0"/>
        <w:jc w:val="left"/>
        <w:rPr/>
      </w:pPr>
      <w:r>
        <w:rPr>
          <w:rStyle w:val="SourceText"/>
        </w:rPr>
        <w:t xml:space="preserve">  </w:t>
      </w:r>
      <w:r>
        <w:rPr>
          <w:rStyle w:val="SourceText"/>
        </w:rPr>
        <w:t>constructor(private vault: KeyVault, private address: Address) {}</w:t>
      </w:r>
    </w:p>
    <w:p>
      <w:pPr>
        <w:pStyle w:val="PreformattedText"/>
        <w:bidi w:val="0"/>
        <w:jc w:val="left"/>
        <w:rPr/>
      </w:pPr>
      <w:r>
        <w:rPr/>
      </w:r>
    </w:p>
    <w:p>
      <w:pPr>
        <w:pStyle w:val="PreformattedText"/>
        <w:bidi w:val="0"/>
        <w:jc w:val="left"/>
        <w:rPr/>
      </w:pPr>
      <w:r>
        <w:rPr>
          <w:rStyle w:val="SourceText"/>
        </w:rPr>
        <w:t xml:space="preserve">  </w:t>
      </w:r>
      <w:r>
        <w:rPr>
          <w:rStyle w:val="SourceText"/>
        </w:rPr>
        <w:t>getEoaAddress = async () =&gt; this.address;</w:t>
      </w:r>
    </w:p>
    <w:p>
      <w:pPr>
        <w:pStyle w:val="PreformattedText"/>
        <w:bidi w:val="0"/>
        <w:jc w:val="left"/>
        <w:rPr/>
      </w:pPr>
      <w:r>
        <w:rPr/>
      </w:r>
    </w:p>
    <w:p>
      <w:pPr>
        <w:pStyle w:val="PreformattedText"/>
        <w:bidi w:val="0"/>
        <w:jc w:val="left"/>
        <w:rPr/>
      </w:pPr>
      <w:r>
        <w:rPr>
          <w:rStyle w:val="SourceText"/>
        </w:rPr>
        <w:t xml:space="preserve">  </w:t>
      </w:r>
      <w:r>
        <w:rPr>
          <w:rStyle w:val="SourceText"/>
        </w:rPr>
        <w:t>signTypedDataV4 = (address: string, json: string) =&gt;</w:t>
      </w:r>
    </w:p>
    <w:p>
      <w:pPr>
        <w:pStyle w:val="PreformattedText"/>
        <w:bidi w:val="0"/>
        <w:jc w:val="left"/>
        <w:rPr/>
      </w:pPr>
      <w:r>
        <w:rPr>
          <w:rStyle w:val="SourceText"/>
        </w:rPr>
        <w:t xml:space="preserve">    </w:t>
      </w:r>
      <w:r>
        <w:rPr>
          <w:rStyle w:val="SourceText"/>
        </w:rPr>
        <w:t>this.vault.signTypedData(address as Address, JSON.parse(json));</w:t>
      </w:r>
    </w:p>
    <w:p>
      <w:pPr>
        <w:pStyle w:val="PreformattedText"/>
        <w:bidi w:val="0"/>
        <w:jc w:val="left"/>
        <w:rPr/>
      </w:pPr>
      <w:r>
        <w:rPr/>
      </w:r>
    </w:p>
    <w:p>
      <w:pPr>
        <w:pStyle w:val="PreformattedText"/>
        <w:bidi w:val="0"/>
        <w:jc w:val="left"/>
        <w:rPr/>
      </w:pPr>
      <w:r>
        <w:rPr>
          <w:rStyle w:val="SourceText"/>
        </w:rPr>
        <w:t xml:space="preserve">  </w:t>
      </w:r>
      <w:r>
        <w:rPr>
          <w:rStyle w:val="SourceText"/>
        </w:rPr>
        <w:t>personalSign = (message: string, address: string) =&gt;</w:t>
      </w:r>
    </w:p>
    <w:p>
      <w:pPr>
        <w:pStyle w:val="PreformattedText"/>
        <w:bidi w:val="0"/>
        <w:jc w:val="left"/>
        <w:rPr/>
      </w:pPr>
      <w:r>
        <w:rPr>
          <w:rStyle w:val="SourceText"/>
        </w:rPr>
        <w:t xml:space="preserve">    </w:t>
      </w:r>
      <w:r>
        <w:rPr>
          <w:rStyle w:val="SourceText"/>
        </w:rPr>
        <w:t>this.vault.personalSign(address as Address, message);</w:t>
      </w:r>
    </w:p>
    <w:p>
      <w:pPr>
        <w:pStyle w:val="PreformattedText"/>
        <w:bidi w:val="0"/>
        <w:spacing w:before="0" w:after="283"/>
        <w:jc w:val="left"/>
        <w:rPr/>
      </w:pPr>
      <w:r>
        <w:rPr>
          <w:rStyle w:val="SourceText"/>
        </w:rPr>
        <w:t>}</w:t>
      </w:r>
    </w:p>
    <w:p>
      <w:pPr>
        <w:pStyle w:val="BodyText"/>
        <w:bidi w:val="0"/>
        <w:jc w:val="left"/>
        <w:rPr/>
      </w:pPr>
      <w:r>
        <w:rPr/>
        <w:t>A meta-transaction request then reads:</w:t>
      </w:r>
    </w:p>
    <w:p>
      <w:pPr>
        <w:pStyle w:val="PreformattedText"/>
        <w:bidi w:val="0"/>
        <w:jc w:val="left"/>
        <w:rPr/>
      </w:pPr>
      <w:r>
        <w:rPr>
          <w:rStyle w:val="SourceText"/>
        </w:rPr>
        <w:t>const wallet = await walletRepo.findByCustomerRef(req.body.customerRef);</w:t>
      </w:r>
    </w:p>
    <w:p>
      <w:pPr>
        <w:pStyle w:val="PreformattedText"/>
        <w:bidi w:val="0"/>
        <w:jc w:val="left"/>
        <w:rPr/>
      </w:pPr>
      <w:r>
        <w:rPr>
          <w:rStyle w:val="SourceText"/>
        </w:rPr>
        <w:t>const port = new VaultWalletAdapter(keyVault, wallet.eoaAddress);</w:t>
      </w:r>
    </w:p>
    <w:p>
      <w:pPr>
        <w:pStyle w:val="PreformattedText"/>
        <w:bidi w:val="0"/>
        <w:jc w:val="left"/>
        <w:rPr/>
      </w:pPr>
      <w:r>
        <w:rPr>
          <w:rStyle w:val="SourceText"/>
        </w:rPr>
        <w:t>const body = await buildUsdcCtfAllowanceTx({</w:t>
      </w:r>
    </w:p>
    <w:p>
      <w:pPr>
        <w:pStyle w:val="PreformattedText"/>
        <w:bidi w:val="0"/>
        <w:jc w:val="left"/>
        <w:rPr/>
      </w:pPr>
      <w:r>
        <w:rPr>
          <w:rStyle w:val="SourceText"/>
        </w:rPr>
        <w:t xml:space="preserve">  </w:t>
      </w:r>
      <w:r>
        <w:rPr>
          <w:rStyle w:val="SourceText"/>
        </w:rPr>
        <w:t>wallet: port,</w:t>
      </w:r>
    </w:p>
    <w:p>
      <w:pPr>
        <w:pStyle w:val="PreformattedText"/>
        <w:bidi w:val="0"/>
        <w:jc w:val="left"/>
        <w:rPr/>
      </w:pPr>
      <w:r>
        <w:rPr>
          <w:rStyle w:val="SourceText"/>
        </w:rPr>
        <w:t xml:space="preserve">  </w:t>
      </w:r>
      <w:r>
        <w:rPr>
          <w:rStyle w:val="SourceText"/>
        </w:rPr>
        <w:t>relayerBaseUrl: config.relayerBaseUrl,</w:t>
      </w:r>
    </w:p>
    <w:p>
      <w:pPr>
        <w:pStyle w:val="PreformattedText"/>
        <w:bidi w:val="0"/>
        <w:jc w:val="left"/>
        <w:rPr/>
      </w:pPr>
      <w:r>
        <w:rPr>
          <w:rStyle w:val="SourceText"/>
        </w:rPr>
        <w:t xml:space="preserve">  </w:t>
      </w:r>
      <w:r>
        <w:rPr>
          <w:rStyle w:val="SourceText"/>
        </w:rPr>
        <w:t>contractInfo: config.contractInfo,</w:t>
      </w:r>
    </w:p>
    <w:p>
      <w:pPr>
        <w:pStyle w:val="PreformattedText"/>
        <w:bidi w:val="0"/>
        <w:jc w:val="left"/>
        <w:rPr/>
      </w:pPr>
      <w:r>
        <w:rPr>
          <w:rStyle w:val="SourceText"/>
        </w:rPr>
        <w:t xml:space="preserve">  </w:t>
      </w:r>
      <w:r>
        <w:rPr>
          <w:rStyle w:val="SourceText"/>
        </w:rPr>
        <w:t>proxyWallet: wallet.proxyAddress,</w:t>
      </w:r>
    </w:p>
    <w:p>
      <w:pPr>
        <w:pStyle w:val="PreformattedText"/>
        <w:bidi w:val="0"/>
        <w:jc w:val="left"/>
        <w:rPr/>
      </w:pPr>
      <w:r>
        <w:rPr>
          <w:rStyle w:val="SourceText"/>
        </w:rPr>
        <w:t xml:space="preserve">  </w:t>
      </w:r>
      <w:r>
        <w:rPr>
          <w:rStyle w:val="SourceText"/>
        </w:rPr>
        <w:t>fetchImpl: apiKeyFetch,</w:t>
      </w:r>
    </w:p>
    <w:p>
      <w:pPr>
        <w:pStyle w:val="PreformattedText"/>
        <w:bidi w:val="0"/>
        <w:jc w:val="left"/>
        <w:rPr/>
      </w:pPr>
      <w:r>
        <w:rPr>
          <w:rStyle w:val="SourceText"/>
        </w:rPr>
        <w:t>});</w:t>
      </w:r>
    </w:p>
    <w:p>
      <w:pPr>
        <w:pStyle w:val="PreformattedText"/>
        <w:bidi w:val="0"/>
        <w:spacing w:before="0" w:after="283"/>
        <w:jc w:val="left"/>
        <w:rPr/>
      </w:pPr>
      <w:r>
        <w:rPr>
          <w:rStyle w:val="SourceText"/>
        </w:rPr>
        <w:t>res.json(body); // operator POSTs this to relayer-api /submit</w:t>
      </w:r>
    </w:p>
    <w:p>
      <w:pPr>
        <w:pStyle w:val="HorizontalLine"/>
        <w:bidi w:val="0"/>
        <w:jc w:val="left"/>
        <w:rPr/>
      </w:pPr>
      <w:r>
        <w:rPr/>
      </w:r>
    </w:p>
    <w:p>
      <w:pPr>
        <w:pStyle w:val="Heading2"/>
        <w:bidi w:val="0"/>
        <w:jc w:val="left"/>
        <w:rPr/>
      </w:pPr>
      <w:r>
        <w:rPr/>
        <w:t>8. Third-party integrations</w:t>
      </w:r>
    </w:p>
    <w:p>
      <w:pPr>
        <w:pStyle w:val="Heading3"/>
        <w:bidi w:val="0"/>
        <w:jc w:val="left"/>
        <w:rPr/>
      </w:pPr>
      <w:r>
        <w:rPr/>
        <w:t xml:space="preserve">8.1 </w:t>
      </w:r>
      <w:r>
        <w:rPr>
          <w:rStyle w:val="SourceText"/>
        </w:rPr>
        <w:t>relayer-api</w:t>
      </w:r>
      <w:r>
        <w:rPr/>
        <w:t xml:space="preserve"> (the only Plaee dependency)</w:t>
      </w:r>
    </w:p>
    <w:p>
      <w:pPr>
        <w:pStyle w:val="BodyText"/>
        <w:numPr>
          <w:ilvl w:val="0"/>
          <w:numId w:val="10"/>
        </w:numPr>
        <w:tabs>
          <w:tab w:val="clear" w:pos="1134"/>
          <w:tab w:val="left" w:pos="709" w:leader="none"/>
        </w:tabs>
        <w:bidi w:val="0"/>
        <w:spacing w:before="0" w:after="0"/>
        <w:ind w:hanging="283" w:left="709"/>
        <w:jc w:val="left"/>
        <w:rPr/>
      </w:pPr>
      <w:r>
        <w:rPr>
          <w:rStyle w:val="Strong"/>
        </w:rPr>
        <w:t>Call:</w:t>
      </w:r>
      <w:r>
        <w:rPr/>
        <w:t xml:space="preserve"> </w:t>
      </w:r>
      <w:r>
        <w:rPr>
          <w:rStyle w:val="SourceText"/>
        </w:rPr>
        <w:t>GET /relay-payload?address=&lt;eoa&gt;&amp;type=PROXY</w:t>
      </w:r>
      <w:r>
        <w:rPr/>
        <w:t xml:space="preserve"> </w:t>
      </w:r>
    </w:p>
    <w:p>
      <w:pPr>
        <w:pStyle w:val="BodyText"/>
        <w:numPr>
          <w:ilvl w:val="0"/>
          <w:numId w:val="10"/>
        </w:numPr>
        <w:tabs>
          <w:tab w:val="clear" w:pos="1134"/>
          <w:tab w:val="left" w:pos="709" w:leader="none"/>
        </w:tabs>
        <w:bidi w:val="0"/>
        <w:spacing w:before="0" w:after="0"/>
        <w:ind w:hanging="283" w:left="709"/>
        <w:jc w:val="left"/>
        <w:rPr/>
      </w:pPr>
      <w:r>
        <w:rPr>
          <w:rStyle w:val="Strong"/>
        </w:rPr>
        <w:t>Returns:</w:t>
      </w:r>
      <w:r>
        <w:rPr/>
        <w:t xml:space="preserve"> </w:t>
      </w:r>
      <w:r>
        <w:rPr>
          <w:rStyle w:val="SourceText"/>
        </w:rPr>
        <w:t>{ address: &lt;relayerAdminAddress&gt;, nonce: &lt;string&gt; }</w:t>
      </w:r>
      <w:r>
        <w:rPr/>
        <w:t xml:space="preserve"> </w:t>
      </w:r>
    </w:p>
    <w:p>
      <w:pPr>
        <w:pStyle w:val="BodyText"/>
        <w:numPr>
          <w:ilvl w:val="0"/>
          <w:numId w:val="10"/>
        </w:numPr>
        <w:tabs>
          <w:tab w:val="clear" w:pos="1134"/>
          <w:tab w:val="left" w:pos="709" w:leader="none"/>
        </w:tabs>
        <w:bidi w:val="0"/>
        <w:spacing w:before="0" w:after="0"/>
        <w:ind w:hanging="283" w:left="709"/>
        <w:jc w:val="left"/>
        <w:rPr/>
      </w:pPr>
      <w:r>
        <w:rPr>
          <w:rStyle w:val="Strong"/>
        </w:rPr>
        <w:t>Auth:</w:t>
      </w:r>
      <w:r>
        <w:rPr/>
        <w:t xml:space="preserve"> </w:t>
      </w:r>
      <w:r>
        <w:rPr>
          <w:rStyle w:val="SourceText"/>
        </w:rPr>
        <w:t>X-API-Key</w:t>
      </w:r>
      <w:r>
        <w:rPr/>
        <w:t xml:space="preserve"> only. </w:t>
      </w:r>
    </w:p>
    <w:p>
      <w:pPr>
        <w:pStyle w:val="BodyText"/>
        <w:numPr>
          <w:ilvl w:val="0"/>
          <w:numId w:val="10"/>
        </w:numPr>
        <w:tabs>
          <w:tab w:val="clear" w:pos="1134"/>
          <w:tab w:val="left" w:pos="709" w:leader="none"/>
        </w:tabs>
        <w:bidi w:val="0"/>
        <w:spacing w:before="0" w:after="0"/>
        <w:ind w:hanging="283" w:left="709"/>
        <w:jc w:val="left"/>
        <w:rPr/>
      </w:pPr>
      <w:r>
        <w:rPr>
          <w:rStyle w:val="Strong"/>
        </w:rPr>
        <w:t>Constraint:</w:t>
      </w:r>
      <w:r>
        <w:rPr/>
        <w:t xml:space="preserve"> </w:t>
      </w:r>
      <w:r>
        <w:rPr>
          <w:rStyle w:val="SourceText"/>
        </w:rPr>
        <w:t>type</w:t>
      </w:r>
      <w:r>
        <w:rPr/>
        <w:t xml:space="preserve"> must be </w:t>
      </w:r>
      <w:r>
        <w:rPr>
          <w:rStyle w:val="SourceText"/>
        </w:rPr>
        <w:t>PROXY</w:t>
      </w:r>
      <w:r>
        <w:rPr/>
        <w:t xml:space="preserve">; </w:t>
      </w:r>
      <w:r>
        <w:rPr>
          <w:rStyle w:val="SourceText"/>
        </w:rPr>
        <w:t>SAFE</w:t>
      </w:r>
      <w:r>
        <w:rPr/>
        <w:t xml:space="preserve"> is rejected by the endpoint. </w:t>
      </w:r>
    </w:p>
    <w:p>
      <w:pPr>
        <w:pStyle w:val="BodyText"/>
        <w:numPr>
          <w:ilvl w:val="0"/>
          <w:numId w:val="10"/>
        </w:numPr>
        <w:tabs>
          <w:tab w:val="clear" w:pos="1134"/>
          <w:tab w:val="left" w:pos="709" w:leader="none"/>
        </w:tabs>
        <w:bidi w:val="0"/>
        <w:ind w:hanging="283" w:left="709"/>
        <w:jc w:val="left"/>
        <w:rPr/>
      </w:pPr>
      <w:r>
        <w:rPr>
          <w:rStyle w:val="Strong"/>
        </w:rPr>
        <w:t>Precondition:</w:t>
      </w:r>
      <w:r>
        <w:rPr/>
        <w:t xml:space="preserve"> the EOA must already be registered in the DPM </w:t>
      </w:r>
      <w:r>
        <w:rPr>
          <w:rStyle w:val="SourceText"/>
        </w:rPr>
        <w:t>users</w:t>
      </w:r>
      <w:r>
        <w:rPr/>
        <w:t xml:space="preserve"> table, because the nonce is resolved from it (see </w:t>
      </w:r>
      <w:hyperlink w:anchor="11-onboarding-sequence">
        <w:r>
          <w:rPr>
            <w:rStyle w:val="Hyperlink"/>
          </w:rPr>
          <w:t>Section 11</w:t>
        </w:r>
      </w:hyperlink>
      <w:r>
        <w:rPr/>
        <w:t xml:space="preserve">). </w:t>
      </w:r>
    </w:p>
    <w:p>
      <w:pPr>
        <w:pStyle w:val="BodyText"/>
        <w:bidi w:val="0"/>
        <w:jc w:val="left"/>
        <w:rPr/>
      </w:pPr>
      <w:r>
        <w:rPr/>
        <w:t xml:space="preserve">Reached through the SDK's </w:t>
      </w:r>
      <w:r>
        <w:rPr>
          <w:rStyle w:val="SourceText"/>
        </w:rPr>
        <w:t>getRelayPayload</w:t>
      </w:r>
      <w:r>
        <w:rPr/>
        <w:t xml:space="preserve"> with the </w:t>
      </w:r>
      <w:r>
        <w:rPr>
          <w:rStyle w:val="SourceText"/>
        </w:rPr>
        <w:t>apiKeyFetch</w:t>
      </w:r>
      <w:r>
        <w:rPr/>
        <w:t xml:space="preserve"> wrapper.</w:t>
      </w:r>
    </w:p>
    <w:p>
      <w:pPr>
        <w:pStyle w:val="Heading3"/>
        <w:bidi w:val="0"/>
        <w:jc w:val="left"/>
        <w:rPr/>
      </w:pPr>
      <w:r>
        <w:rPr/>
        <w:t>8.2 Signer provider abstraction (Turnkey, swappable)</w:t>
      </w:r>
    </w:p>
    <w:p>
      <w:pPr>
        <w:pStyle w:val="BodyText"/>
        <w:bidi w:val="0"/>
        <w:jc w:val="left"/>
        <w:rPr/>
      </w:pPr>
      <w:r>
        <w:rPr/>
        <w:t xml:space="preserve">Turnkey is hidden behind a </w:t>
      </w:r>
      <w:r>
        <w:rPr>
          <w:rStyle w:val="SourceText"/>
        </w:rPr>
        <w:t>SignerProvider</w:t>
      </w:r>
      <w:r>
        <w:rPr/>
        <w:t xml:space="preserve"> interface consumed by </w:t>
      </w:r>
      <w:r>
        <w:rPr>
          <w:rStyle w:val="SourceText"/>
        </w:rPr>
        <w:t>TurnkeyKeyVault</w:t>
      </w:r>
      <w:r>
        <w:rPr/>
        <w:t>. Swapping providers means writing one class and changing one line of DI wiring.</w:t>
      </w:r>
    </w:p>
    <w:p>
      <w:pPr>
        <w:pStyle w:val="PreformattedText"/>
        <w:bidi w:val="0"/>
        <w:jc w:val="left"/>
        <w:rPr/>
      </w:pPr>
      <w:r>
        <w:rPr>
          <w:rStyle w:val="SourceText"/>
        </w:rPr>
        <w:t>export interface SignerProvider {</w:t>
      </w:r>
    </w:p>
    <w:p>
      <w:pPr>
        <w:pStyle w:val="PreformattedText"/>
        <w:bidi w:val="0"/>
        <w:jc w:val="left"/>
        <w:rPr/>
      </w:pPr>
      <w:r>
        <w:rPr>
          <w:rStyle w:val="SourceText"/>
        </w:rPr>
        <w:t xml:space="preserve">  </w:t>
      </w:r>
      <w:r>
        <w:rPr>
          <w:rStyle w:val="SourceText"/>
        </w:rPr>
        <w:t>readonly name: string;</w:t>
      </w:r>
    </w:p>
    <w:p>
      <w:pPr>
        <w:pStyle w:val="PreformattedText"/>
        <w:bidi w:val="0"/>
        <w:jc w:val="left"/>
        <w:rPr/>
      </w:pPr>
      <w:r>
        <w:rPr>
          <w:rStyle w:val="SourceText"/>
        </w:rPr>
        <w:t xml:space="preserve">  </w:t>
      </w:r>
      <w:r>
        <w:rPr>
          <w:rStyle w:val="SourceText"/>
        </w:rPr>
        <w:t>ensureWallet(): Promise&lt;{ organizationId: string }&gt;;</w:t>
      </w:r>
    </w:p>
    <w:p>
      <w:pPr>
        <w:pStyle w:val="PreformattedText"/>
        <w:bidi w:val="0"/>
        <w:jc w:val="left"/>
        <w:rPr/>
      </w:pPr>
      <w:r>
        <w:rPr>
          <w:rStyle w:val="SourceText"/>
        </w:rPr>
        <w:t xml:space="preserve">  </w:t>
      </w:r>
      <w:r>
        <w:rPr>
          <w:rStyle w:val="SourceText"/>
        </w:rPr>
        <w:t>createAccount(derivationPath: string, ref: string): Promise&lt;{ address: Address }&gt;;</w:t>
      </w:r>
    </w:p>
    <w:p>
      <w:pPr>
        <w:pStyle w:val="PreformattedText"/>
        <w:bidi w:val="0"/>
        <w:jc w:val="left"/>
        <w:rPr/>
      </w:pPr>
      <w:r>
        <w:rPr>
          <w:rStyle w:val="SourceText"/>
        </w:rPr>
        <w:t xml:space="preserve">  </w:t>
      </w:r>
      <w:r>
        <w:rPr>
          <w:rStyle w:val="SourceText"/>
        </w:rPr>
        <w:t>signRawPayload(address: Address, payload: Hex, encoding: "eip191" | "eip712" | "tx"): Promise&lt;Hex&gt;;</w:t>
      </w:r>
    </w:p>
    <w:p>
      <w:pPr>
        <w:pStyle w:val="PreformattedText"/>
        <w:bidi w:val="0"/>
        <w:jc w:val="left"/>
        <w:rPr/>
      </w:pPr>
      <w:r>
        <w:rPr>
          <w:rStyle w:val="SourceText"/>
        </w:rPr>
        <w:t xml:space="preserve">  </w:t>
      </w:r>
      <w:r>
        <w:rPr>
          <w:rStyle w:val="SourceText"/>
        </w:rPr>
        <w:t>health(): Promise&lt;{ ready: boolean }&gt;;</w:t>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 Turnkey today:</w:t>
      </w:r>
    </w:p>
    <w:p>
      <w:pPr>
        <w:pStyle w:val="PreformattedText"/>
        <w:bidi w:val="0"/>
        <w:jc w:val="left"/>
        <w:rPr/>
      </w:pPr>
      <w:r>
        <w:rPr>
          <w:rStyle w:val="SourceText"/>
        </w:rPr>
        <w:t>class TurnkeySignerProvider implements SignerProvider { /* ... */ }</w:t>
      </w:r>
    </w:p>
    <w:p>
      <w:pPr>
        <w:pStyle w:val="PreformattedText"/>
        <w:bidi w:val="0"/>
        <w:jc w:val="left"/>
        <w:rPr/>
      </w:pPr>
      <w:r>
        <w:rPr/>
      </w:r>
    </w:p>
    <w:p>
      <w:pPr>
        <w:pStyle w:val="PreformattedText"/>
        <w:bidi w:val="0"/>
        <w:jc w:val="left"/>
        <w:rPr/>
      </w:pPr>
      <w:r>
        <w:rPr>
          <w:rStyle w:val="SourceText"/>
        </w:rPr>
        <w:t>// Swap illustration — no service code changes:</w:t>
      </w:r>
    </w:p>
    <w:p>
      <w:pPr>
        <w:pStyle w:val="PreformattedText"/>
        <w:bidi w:val="0"/>
        <w:spacing w:before="0" w:after="283"/>
        <w:jc w:val="left"/>
        <w:rPr/>
      </w:pPr>
      <w:r>
        <w:rPr>
          <w:rStyle w:val="SourceText"/>
        </w:rPr>
        <w:t>class FireblocksSignerProvider implements SignerProvider { /* ... */ }</w:t>
      </w:r>
    </w:p>
    <w:p>
      <w:pPr>
        <w:pStyle w:val="Heading3"/>
        <w:bidi w:val="0"/>
        <w:jc w:val="left"/>
        <w:rPr/>
      </w:pPr>
      <w:r>
        <w:rPr/>
        <w:t>8.3 Chain client (viem)</w:t>
      </w:r>
    </w:p>
    <w:p>
      <w:pPr>
        <w:pStyle w:val="BodyText"/>
        <w:bidi w:val="0"/>
        <w:jc w:val="left"/>
        <w:rPr/>
      </w:pPr>
      <w:r>
        <w:rPr/>
        <w:t xml:space="preserve">viem is used </w:t>
      </w:r>
      <w:r>
        <w:rPr>
          <w:rStyle w:val="Strong"/>
        </w:rPr>
        <w:t>only</w:t>
      </w:r>
      <w:r>
        <w:rPr/>
        <w:t xml:space="preserve"> for cryptography and ABI encoding (CREATE2 derivation, </w:t>
      </w:r>
      <w:r>
        <w:rPr>
          <w:rStyle w:val="SourceText"/>
        </w:rPr>
        <w:t>encodeFunctionData</w:t>
      </w:r>
      <w:r>
        <w:rPr/>
        <w:t xml:space="preserve">, typed-data hashing, transaction serialisation). No JSON-RPC provider is required in v1 because the </w:t>
      </w:r>
      <w:r>
        <w:rPr>
          <w:rStyle w:val="SourceText"/>
        </w:rPr>
        <w:t>dpmw</w:t>
      </w:r>
      <w:r>
        <w:rPr/>
        <w:t xml:space="preserve"> does not broadcast or read chain state. (When monitoring lands in a later phase, a read-only RPC URL is added — see the stubbed interface in </w:t>
      </w:r>
      <w:hyperlink w:anchor="13-phase-2-stub-interfaces">
        <w:r>
          <w:rPr>
            <w:rStyle w:val="Hyperlink"/>
          </w:rPr>
          <w:t>Section 13</w:t>
        </w:r>
      </w:hyperlink>
      <w:r>
        <w:rPr/>
        <w:t>.)</w:t>
      </w:r>
    </w:p>
    <w:p>
      <w:pPr>
        <w:pStyle w:val="HorizontalLine"/>
        <w:bidi w:val="0"/>
        <w:jc w:val="left"/>
        <w:rPr/>
      </w:pPr>
      <w:r>
        <w:rPr/>
      </w:r>
    </w:p>
    <w:p>
      <w:pPr>
        <w:pStyle w:val="Heading2"/>
        <w:bidi w:val="0"/>
        <w:jc w:val="left"/>
        <w:rPr/>
      </w:pPr>
      <w:r>
        <w:rPr/>
        <w:t>9. Signing reference</w:t>
      </w:r>
    </w:p>
    <w:p>
      <w:pPr>
        <w:pStyle w:val="BodyText"/>
        <w:bidi w:val="0"/>
        <w:jc w:val="left"/>
        <w:rPr/>
      </w:pPr>
      <w:r>
        <w:rPr/>
        <w:t xml:space="preserve">Every signing operation below names the </w:t>
      </w:r>
      <w:r>
        <w:rPr>
          <w:rStyle w:val="SourceText"/>
        </w:rPr>
        <w:t>dpm-sdk</w:t>
      </w:r>
      <w:r>
        <w:rPr/>
        <w:t xml:space="preserve"> function that owns it, so there is exactly one implementation of each.</w:t>
      </w:r>
    </w:p>
    <w:p>
      <w:pPr>
        <w:pStyle w:val="Heading3"/>
        <w:bidi w:val="0"/>
        <w:jc w:val="left"/>
        <w:rPr/>
      </w:pPr>
      <w:r>
        <w:rPr/>
        <w:t>9.1 EIP-712 order — field order and domain</w:t>
      </w:r>
    </w:p>
    <w:p>
      <w:pPr>
        <w:pStyle w:val="BodyText"/>
        <w:bidi w:val="0"/>
        <w:jc w:val="left"/>
        <w:rPr/>
      </w:pPr>
      <w:r>
        <w:rPr/>
        <w:t xml:space="preserve">The signed </w:t>
      </w:r>
      <w:r>
        <w:rPr>
          <w:rStyle w:val="SourceText"/>
        </w:rPr>
        <w:t>Order</w:t>
      </w:r>
      <w:r>
        <w:rPr/>
        <w:t xml:space="preserve"> has 13 fields in this exact sequence (reordering or omitting one yields a signature the exchange rejects):</w:t>
      </w:r>
    </w:p>
    <w:tbl>
      <w:tblPr>
        <w:tblW w:w="5000" w:type="pct"/>
        <w:jc w:val="left"/>
        <w:tblInd w:w="45" w:type="dxa"/>
        <w:tblLayout w:type="fixed"/>
        <w:tblCellMar>
          <w:top w:w="45" w:type="dxa"/>
          <w:left w:w="45" w:type="dxa"/>
          <w:bottom w:w="45" w:type="dxa"/>
          <w:right w:w="45" w:type="dxa"/>
        </w:tblCellMar>
      </w:tblPr>
      <w:tblGrid>
        <w:gridCol w:w="1369"/>
        <w:gridCol w:w="6302"/>
        <w:gridCol w:w="3667"/>
      </w:tblGrid>
      <w:tr>
        <w:trPr>
          <w:tblHeader w:val="true"/>
        </w:trPr>
        <w:tc>
          <w:tcPr>
            <w:tcW w:w="136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w:t>
            </w:r>
          </w:p>
        </w:tc>
        <w:tc>
          <w:tcPr>
            <w:tcW w:w="63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Field</w:t>
            </w:r>
          </w:p>
        </w:tc>
        <w:tc>
          <w:tcPr>
            <w:tcW w:w="366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Type</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0</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salt</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uint256</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maker</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address</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2</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signer</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address</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3</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taker</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address</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4</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recipient</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address</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tokenId</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uint256</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6</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makerAmount</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uint256</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takerAmount</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uint256</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expiration</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uint256</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9</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nonce</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uint256</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feeRateBps</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uint256</w:t>
            </w:r>
          </w:p>
        </w:tc>
      </w:tr>
      <w:tr>
        <w:trPr/>
        <w:tc>
          <w:tcPr>
            <w:tcW w:w="136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11</w:t>
            </w:r>
          </w:p>
        </w:tc>
        <w:tc>
          <w:tcPr>
            <w:tcW w:w="630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side</w:t>
            </w:r>
          </w:p>
        </w:tc>
        <w:tc>
          <w:tcPr>
            <w:tcW w:w="366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uint8</w:t>
            </w:r>
          </w:p>
        </w:tc>
      </w:tr>
      <w:tr>
        <w:trPr/>
        <w:tc>
          <w:tcPr>
            <w:tcW w:w="136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12</w:t>
            </w:r>
          </w:p>
        </w:tc>
        <w:tc>
          <w:tcPr>
            <w:tcW w:w="63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signatureType</w:t>
            </w:r>
          </w:p>
        </w:tc>
        <w:tc>
          <w:tcPr>
            <w:tcW w:w="366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uint8</w:t>
            </w:r>
          </w:p>
        </w:tc>
      </w:tr>
    </w:tbl>
    <w:p>
      <w:pPr>
        <w:pStyle w:val="BodyText"/>
        <w:bidi w:val="0"/>
        <w:jc w:val="left"/>
        <w:rPr/>
      </w:pPr>
      <w:r>
        <w:rPr/>
        <w:t>Domain:</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"name": "DPM CTF Exchange",</w:t>
      </w:r>
    </w:p>
    <w:p>
      <w:pPr>
        <w:pStyle w:val="PreformattedText"/>
        <w:bidi w:val="0"/>
        <w:jc w:val="left"/>
        <w:rPr/>
      </w:pPr>
      <w:r>
        <w:rPr>
          <w:rStyle w:val="SourceText"/>
        </w:rPr>
        <w:t xml:space="preserve">  </w:t>
      </w:r>
      <w:r>
        <w:rPr>
          <w:rStyle w:val="SourceText"/>
        </w:rPr>
        <w:t>"version": "1",</w:t>
      </w:r>
    </w:p>
    <w:p>
      <w:pPr>
        <w:pStyle w:val="PreformattedText"/>
        <w:bidi w:val="0"/>
        <w:jc w:val="left"/>
        <w:rPr/>
      </w:pPr>
      <w:r>
        <w:rPr>
          <w:rStyle w:val="SourceText"/>
        </w:rPr>
        <w:t xml:space="preserve">  </w:t>
      </w:r>
      <w:r>
        <w:rPr>
          <w:rStyle w:val="SourceText"/>
        </w:rPr>
        <w:t>"chainId": 137,</w:t>
      </w:r>
    </w:p>
    <w:p>
      <w:pPr>
        <w:pStyle w:val="PreformattedText"/>
        <w:bidi w:val="0"/>
        <w:jc w:val="left"/>
        <w:rPr/>
      </w:pPr>
      <w:r>
        <w:rPr>
          <w:rStyle w:val="SourceText"/>
        </w:rPr>
        <w:t xml:space="preserve">  </w:t>
      </w:r>
      <w:r>
        <w:rPr>
          <w:rStyle w:val="SourceText"/>
        </w:rPr>
        <w:t>"verifyingContract": "&lt;ctfExchange address&gt;"</w:t>
      </w:r>
    </w:p>
    <w:p>
      <w:pPr>
        <w:pStyle w:val="PreformattedText"/>
        <w:bidi w:val="0"/>
        <w:spacing w:before="0" w:after="283"/>
        <w:jc w:val="left"/>
        <w:rPr/>
      </w:pPr>
      <w:r>
        <w:rPr>
          <w:rStyle w:val="SourceText"/>
        </w:rPr>
        <w:t>}</w:t>
      </w:r>
    </w:p>
    <w:p>
      <w:pPr>
        <w:pStyle w:val="BodyText"/>
        <w:bidi w:val="0"/>
        <w:jc w:val="left"/>
        <w:rPr/>
      </w:pPr>
      <w:r>
        <w:rPr/>
        <w:t xml:space="preserve">For a standard customer order: </w:t>
      </w:r>
      <w:r>
        <w:rPr>
          <w:rStyle w:val="SourceText"/>
        </w:rPr>
        <w:t>maker</w:t>
      </w:r>
      <w:r>
        <w:rPr/>
        <w:t xml:space="preserve"> = the customer's </w:t>
      </w:r>
      <w:r>
        <w:rPr>
          <w:rStyle w:val="Strong"/>
        </w:rPr>
        <w:t>proxy wallet</w:t>
      </w:r>
      <w:r>
        <w:rPr/>
        <w:t xml:space="preserve"> (source of funds), </w:t>
      </w:r>
      <w:r>
        <w:rPr>
          <w:rStyle w:val="SourceText"/>
        </w:rPr>
        <w:t>signer</w:t>
      </w:r>
      <w:r>
        <w:rPr/>
        <w:t xml:space="preserve"> = the customer's </w:t>
      </w:r>
      <w:r>
        <w:rPr>
          <w:rStyle w:val="Strong"/>
        </w:rPr>
        <w:t>EOA</w:t>
      </w:r>
      <w:r>
        <w:rPr/>
        <w:t xml:space="preserve"> (which produces the signature), </w:t>
      </w:r>
      <w:r>
        <w:rPr>
          <w:rStyle w:val="SourceText"/>
        </w:rPr>
        <w:t>taker</w:t>
      </w:r>
      <w:r>
        <w:rPr/>
        <w:t xml:space="preserve"> = zero address (public order), </w:t>
      </w:r>
      <w:r>
        <w:rPr>
          <w:rStyle w:val="SourceText"/>
        </w:rPr>
        <w:t>signatureType</w:t>
      </w:r>
      <w:r>
        <w:rPr/>
        <w:t xml:space="preserve"> = </w:t>
      </w:r>
      <w:r>
        <w:rPr>
          <w:rStyle w:val="SourceText"/>
        </w:rPr>
        <w:t>1</w:t>
      </w:r>
      <w:r>
        <w:rPr/>
        <w:t xml:space="preserve"> (</w:t>
      </w:r>
      <w:r>
        <w:rPr>
          <w:rStyle w:val="SourceText"/>
        </w:rPr>
        <w:t>POLY_PROXY</w:t>
      </w:r>
      <w:r>
        <w:rPr/>
        <w:t>).</w:t>
      </w:r>
    </w:p>
    <w:p>
      <w:pPr>
        <w:pStyle w:val="BodyText"/>
        <w:bidi w:val="0"/>
        <w:jc w:val="left"/>
        <w:rPr/>
      </w:pPr>
      <w:r>
        <w:rPr>
          <w:rStyle w:val="Strong"/>
        </w:rPr>
        <w:t>Recipient is optional.</w:t>
      </w:r>
      <w:r>
        <w:rPr/>
        <w:t xml:space="preserve"> </w:t>
      </w:r>
      <w:r>
        <w:rPr>
          <w:rStyle w:val="SourceText"/>
        </w:rPr>
        <w:t>recipient</w:t>
      </w:r>
      <w:r>
        <w:rPr/>
        <w:t xml:space="preserve"> may be omitted by the operator. When it is omitted — or supplied as the zero address — the exchange resolves </w:t>
      </w:r>
      <w:r>
        <w:rPr>
          <w:rStyle w:val="SourceText"/>
        </w:rPr>
        <w:t>recipient == address(0) ? maker : recipient</w:t>
      </w:r>
      <w:r>
        <w:rPr/>
        <w:t xml:space="preserve">, so proceeds go to the </w:t>
      </w:r>
      <w:r>
        <w:rPr>
          <w:rStyle w:val="Strong"/>
        </w:rPr>
        <w:t>maker</w:t>
      </w:r>
      <w:r>
        <w:rPr/>
        <w:t xml:space="preserve">. The </w:t>
      </w:r>
      <w:r>
        <w:rPr>
          <w:rStyle w:val="SourceText"/>
        </w:rPr>
        <w:t>dpmw</w:t>
      </w:r>
      <w:r>
        <w:rPr/>
        <w:t xml:space="preserve"> encodes an omitted recipient as the zero address in the signed order (the two are equivalent on-chain), so an unset recipient always means "pay the maker".</w:t>
      </w:r>
    </w:p>
    <w:p>
      <w:pPr>
        <w:pStyle w:val="BodyText"/>
        <w:bidi w:val="0"/>
        <w:jc w:val="left"/>
        <w:rPr/>
      </w:pPr>
      <w:r>
        <w:rPr>
          <w:rStyle w:val="Strong"/>
        </w:rPr>
        <w:t>Recipient constraint (when supplied).</w:t>
      </w:r>
      <w:r>
        <w:rPr/>
        <w:t xml:space="preserve"> When the operator does supply a non-zero </w:t>
      </w:r>
      <w:r>
        <w:rPr>
          <w:rStyle w:val="SourceText"/>
        </w:rPr>
        <w:t>recipient</w:t>
      </w:r>
      <w:r>
        <w:rPr/>
        <w:t xml:space="preserve">, the </w:t>
      </w:r>
      <w:r>
        <w:rPr>
          <w:rStyle w:val="SourceText"/>
        </w:rPr>
        <w:t>dpmw</w:t>
      </w:r>
      <w:r>
        <w:rPr/>
        <w:t xml:space="preserve"> validates it against its address directory before signing: it must be either the </w:t>
      </w:r>
      <w:r>
        <w:rPr>
          <w:rStyle w:val="Strong"/>
        </w:rPr>
        <w:t>operational wallet</w:t>
      </w:r>
      <w:r>
        <w:rPr/>
        <w:t xml:space="preserve"> address or a </w:t>
      </w:r>
      <w:r>
        <w:rPr>
          <w:rStyle w:val="Strong"/>
        </w:rPr>
        <w:t>wallet belonging to one of the operator's customers</w:t>
      </w:r>
      <w:r>
        <w:rPr/>
        <w:t xml:space="preserve"> (present in the </w:t>
      </w:r>
      <w:r>
        <w:rPr>
          <w:rStyle w:val="SourceText"/>
        </w:rPr>
        <w:t>wallets</w:t>
      </w:r>
      <w:r>
        <w:rPr/>
        <w:t xml:space="preserve"> table). Any other value is rejected with </w:t>
      </w:r>
      <w:r>
        <w:rPr>
          <w:rStyle w:val="SourceText"/>
        </w:rPr>
        <w:t>POLICY_VIOLATION</w:t>
      </w:r>
      <w:r>
        <w:rPr/>
        <w:t>. This prevents an order from directing proceeds to a wallet outside the operator's control. An omitted or zero recipient is always allowed (it resolves to the maker).</w:t>
      </w:r>
    </w:p>
    <w:p>
      <w:pPr>
        <w:pStyle w:val="BodyText"/>
        <w:bidi w:val="0"/>
        <w:jc w:val="left"/>
        <w:rPr/>
      </w:pPr>
      <w:r>
        <w:rPr/>
        <w:t xml:space="preserve">Owned by: </w:t>
      </w:r>
      <w:r>
        <w:rPr>
          <w:rStyle w:val="SourceText"/>
        </w:rPr>
        <w:t>buildOrderFields</w:t>
      </w:r>
      <w:r>
        <w:rPr/>
        <w:t xml:space="preserve"> + the new </w:t>
      </w:r>
      <w:r>
        <w:rPr>
          <w:rStyle w:val="SourceText"/>
        </w:rPr>
        <w:t>buildOrderTypedData</w:t>
      </w:r>
      <w:r>
        <w:rPr/>
        <w:t xml:space="preserve"> in </w:t>
      </w:r>
      <w:r>
        <w:rPr>
          <w:rStyle w:val="SourceText"/>
        </w:rPr>
        <w:t>clob-order.ts</w:t>
      </w:r>
      <w:r>
        <w:rPr/>
        <w:t xml:space="preserve">; signed via </w:t>
      </w:r>
      <w:r>
        <w:rPr>
          <w:rStyle w:val="SourceText"/>
        </w:rPr>
        <w:t>KeyVault.signTypedData</w:t>
      </w:r>
      <w:r>
        <w:rPr/>
        <w:t>.</w:t>
      </w:r>
    </w:p>
    <w:p>
      <w:pPr>
        <w:pStyle w:val="Heading3"/>
        <w:bidi w:val="0"/>
        <w:jc w:val="left"/>
        <w:rPr/>
      </w:pPr>
      <w:r>
        <w:rPr/>
        <w:t>9.2 Order EIP-712 — worked example and self-check</w:t>
      </w:r>
    </w:p>
    <w:p>
      <w:pPr>
        <w:pStyle w:val="BodyText"/>
        <w:bidi w:val="0"/>
        <w:jc w:val="left"/>
        <w:rPr/>
      </w:pPr>
      <w:r>
        <w:rPr/>
        <w:t xml:space="preserve">Amounts are 6-decimal micro-units. For a BUY of 100 shares at price 0.40 with </w:t>
      </w:r>
      <w:r>
        <w:rPr>
          <w:rStyle w:val="SourceText"/>
        </w:rPr>
        <w:t>feeRateBps = 200</w:t>
      </w:r>
      <w:r>
        <w:rPr/>
        <w:t>:</w:t>
      </w:r>
    </w:p>
    <w:p>
      <w:pPr>
        <w:pStyle w:val="PreformattedText"/>
        <w:bidi w:val="0"/>
        <w:jc w:val="left"/>
        <w:rPr/>
      </w:pPr>
      <w:r>
        <w:rPr>
          <w:rStyle w:val="SourceText"/>
        </w:rPr>
        <w:t>priceMicro       = 400000</w:t>
      </w:r>
    </w:p>
    <w:p>
      <w:pPr>
        <w:pStyle w:val="PreformattedText"/>
        <w:bidi w:val="0"/>
        <w:jc w:val="left"/>
        <w:rPr/>
      </w:pPr>
      <w:r>
        <w:rPr>
          <w:rStyle w:val="SourceText"/>
        </w:rPr>
        <w:t>sharesMicro      = 100000000</w:t>
      </w:r>
    </w:p>
    <w:p>
      <w:pPr>
        <w:pStyle w:val="PreformattedText"/>
        <w:bidi w:val="0"/>
        <w:jc w:val="left"/>
        <w:rPr/>
      </w:pPr>
      <w:r>
        <w:rPr>
          <w:rStyle w:val="SourceText"/>
        </w:rPr>
        <w:t>collateralMicro  = priceMicro * sharesMicro / 1_000_000 = 40000000</w:t>
      </w:r>
    </w:p>
    <w:p>
      <w:pPr>
        <w:pStyle w:val="PreformattedText"/>
        <w:bidi w:val="0"/>
        <w:jc w:val="left"/>
        <w:rPr/>
      </w:pPr>
      <w:r>
        <w:rPr>
          <w:rStyle w:val="SourceText"/>
        </w:rPr>
        <w:t>makerAmount (BUY) = collateralMicro = 40000000</w:t>
      </w:r>
    </w:p>
    <w:p>
      <w:pPr>
        <w:pStyle w:val="PreformattedText"/>
        <w:bidi w:val="0"/>
        <w:spacing w:before="0" w:after="283"/>
        <w:jc w:val="left"/>
        <w:rPr/>
      </w:pPr>
      <w:r>
        <w:rPr>
          <w:rStyle w:val="SourceText"/>
        </w:rPr>
        <w:t>takerAmount (BUY) = sharesMicro     = 100000000</w:t>
      </w:r>
    </w:p>
    <w:p>
      <w:pPr>
        <w:pStyle w:val="BodyText"/>
        <w:bidi w:val="0"/>
        <w:jc w:val="left"/>
        <w:rPr/>
      </w:pPr>
      <w:r>
        <w:rPr/>
        <w:t>The resulting order fields: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"salt": "&lt;random uint256&gt;",</w:t>
      </w:r>
    </w:p>
    <w:p>
      <w:pPr>
        <w:pStyle w:val="PreformattedText"/>
        <w:bidi w:val="0"/>
        <w:jc w:val="left"/>
        <w:rPr/>
      </w:pPr>
      <w:r>
        <w:rPr>
          <w:rStyle w:val="SourceText"/>
        </w:rPr>
        <w:t xml:space="preserve">  </w:t>
      </w:r>
      <w:r>
        <w:rPr>
          <w:rStyle w:val="SourceText"/>
        </w:rPr>
        <w:t>"maker": "&lt;proxyWallet&gt;",</w:t>
      </w:r>
    </w:p>
    <w:p>
      <w:pPr>
        <w:pStyle w:val="PreformattedText"/>
        <w:bidi w:val="0"/>
        <w:jc w:val="left"/>
        <w:rPr/>
      </w:pPr>
      <w:r>
        <w:rPr>
          <w:rStyle w:val="SourceText"/>
        </w:rPr>
        <w:t xml:space="preserve">  </w:t>
      </w:r>
      <w:r>
        <w:rPr>
          <w:rStyle w:val="SourceText"/>
        </w:rPr>
        <w:t>"signer": "&lt;eoa&gt;",</w:t>
      </w:r>
    </w:p>
    <w:p>
      <w:pPr>
        <w:pStyle w:val="PreformattedText"/>
        <w:bidi w:val="0"/>
        <w:jc w:val="left"/>
        <w:rPr/>
      </w:pPr>
      <w:r>
        <w:rPr>
          <w:rStyle w:val="SourceText"/>
        </w:rPr>
        <w:t xml:space="preserve">  </w:t>
      </w:r>
      <w:r>
        <w:rPr>
          <w:rStyle w:val="SourceText"/>
        </w:rPr>
        <w:t>"taker": "0x0000000000000000000000000000000000000000",</w:t>
      </w:r>
    </w:p>
    <w:p>
      <w:pPr>
        <w:pStyle w:val="PreformattedText"/>
        <w:bidi w:val="0"/>
        <w:jc w:val="left"/>
        <w:rPr/>
      </w:pPr>
      <w:r>
        <w:rPr>
          <w:rStyle w:val="SourceText"/>
        </w:rPr>
        <w:t xml:space="preserve">  </w:t>
      </w:r>
      <w:r>
        <w:rPr>
          <w:rStyle w:val="SourceText"/>
        </w:rPr>
        <w:t>"recipient": "&lt;operator-supplied or zero&gt;",</w:t>
      </w:r>
    </w:p>
    <w:p>
      <w:pPr>
        <w:pStyle w:val="PreformattedText"/>
        <w:bidi w:val="0"/>
        <w:jc w:val="left"/>
        <w:rPr/>
      </w:pPr>
      <w:r>
        <w:rPr>
          <w:rStyle w:val="SourceText"/>
        </w:rPr>
        <w:t xml:space="preserve">  </w:t>
      </w:r>
      <w:r>
        <w:rPr>
          <w:rStyle w:val="SourceText"/>
        </w:rPr>
        <w:t>"tokenId": "&lt;CTF token id&gt;",</w:t>
      </w:r>
    </w:p>
    <w:p>
      <w:pPr>
        <w:pStyle w:val="PreformattedText"/>
        <w:bidi w:val="0"/>
        <w:jc w:val="left"/>
        <w:rPr/>
      </w:pPr>
      <w:r>
        <w:rPr>
          <w:rStyle w:val="SourceText"/>
        </w:rPr>
        <w:t xml:space="preserve">  </w:t>
      </w:r>
      <w:r>
        <w:rPr>
          <w:rStyle w:val="SourceText"/>
        </w:rPr>
        <w:t>"makerAmount": "40000000",</w:t>
      </w:r>
    </w:p>
    <w:p>
      <w:pPr>
        <w:pStyle w:val="PreformattedText"/>
        <w:bidi w:val="0"/>
        <w:jc w:val="left"/>
        <w:rPr/>
      </w:pPr>
      <w:r>
        <w:rPr>
          <w:rStyle w:val="SourceText"/>
        </w:rPr>
        <w:t xml:space="preserve">  </w:t>
      </w:r>
      <w:r>
        <w:rPr>
          <w:rStyle w:val="SourceText"/>
        </w:rPr>
        <w:t>"takerAmount": "100000000",</w:t>
      </w:r>
    </w:p>
    <w:p>
      <w:pPr>
        <w:pStyle w:val="PreformattedText"/>
        <w:bidi w:val="0"/>
        <w:jc w:val="left"/>
        <w:rPr/>
      </w:pPr>
      <w:r>
        <w:rPr>
          <w:rStyle w:val="SourceText"/>
        </w:rPr>
        <w:t xml:space="preserve">  </w:t>
      </w:r>
      <w:r>
        <w:rPr>
          <w:rStyle w:val="SourceText"/>
        </w:rPr>
        <w:t>"expiration": "0",</w:t>
      </w:r>
    </w:p>
    <w:p>
      <w:pPr>
        <w:pStyle w:val="PreformattedText"/>
        <w:bidi w:val="0"/>
        <w:jc w:val="left"/>
        <w:rPr/>
      </w:pPr>
      <w:r>
        <w:rPr>
          <w:rStyle w:val="SourceText"/>
        </w:rPr>
        <w:t xml:space="preserve">  </w:t>
      </w:r>
      <w:r>
        <w:rPr>
          <w:rStyle w:val="SourceText"/>
        </w:rPr>
        <w:t>"nonce": "0",</w:t>
      </w:r>
    </w:p>
    <w:p>
      <w:pPr>
        <w:pStyle w:val="PreformattedText"/>
        <w:bidi w:val="0"/>
        <w:jc w:val="left"/>
        <w:rPr/>
      </w:pPr>
      <w:r>
        <w:rPr>
          <w:rStyle w:val="SourceText"/>
        </w:rPr>
        <w:t xml:space="preserve">  </w:t>
      </w:r>
      <w:r>
        <w:rPr>
          <w:rStyle w:val="SourceText"/>
        </w:rPr>
        <w:t>"feeRateBps": "200",</w:t>
      </w:r>
    </w:p>
    <w:p>
      <w:pPr>
        <w:pStyle w:val="PreformattedText"/>
        <w:bidi w:val="0"/>
        <w:jc w:val="left"/>
        <w:rPr/>
      </w:pPr>
      <w:r>
        <w:rPr>
          <w:rStyle w:val="SourceText"/>
        </w:rPr>
        <w:t xml:space="preserve">  </w:t>
      </w:r>
      <w:r>
        <w:rPr>
          <w:rStyle w:val="SourceText"/>
        </w:rPr>
        <w:t>"side": 0,</w:t>
      </w:r>
    </w:p>
    <w:p>
      <w:pPr>
        <w:pStyle w:val="PreformattedText"/>
        <w:bidi w:val="0"/>
        <w:jc w:val="left"/>
        <w:rPr/>
      </w:pPr>
      <w:r>
        <w:rPr>
          <w:rStyle w:val="SourceText"/>
        </w:rPr>
        <w:t xml:space="preserve">  </w:t>
      </w:r>
      <w:r>
        <w:rPr>
          <w:rStyle w:val="SourceText"/>
        </w:rPr>
        <w:t>"signatureType": 1</w:t>
      </w:r>
    </w:p>
    <w:p>
      <w:pPr>
        <w:pStyle w:val="PreformattedText"/>
        <w:bidi w:val="0"/>
        <w:spacing w:before="0" w:after="283"/>
        <w:jc w:val="left"/>
        <w:rPr/>
      </w:pPr>
      <w:r>
        <w:rPr>
          <w:rStyle w:val="SourceText"/>
        </w:rPr>
        <w:t>}</w:t>
      </w:r>
    </w:p>
    <w:p>
      <w:pPr>
        <w:pStyle w:val="BodyText"/>
        <w:bidi w:val="0"/>
        <w:jc w:val="left"/>
        <w:rPr/>
      </w:pPr>
      <w:r>
        <w:rPr>
          <w:rStyle w:val="Strong"/>
        </w:rPr>
        <w:t>Startup self-check:</w:t>
      </w:r>
      <w:r>
        <w:rPr/>
        <w:t xml:space="preserve"> at boot the </w:t>
      </w:r>
      <w:r>
        <w:rPr>
          <w:rStyle w:val="SourceText"/>
        </w:rPr>
        <w:t>dpmw</w:t>
      </w:r>
      <w:r>
        <w:rPr/>
        <w:t xml:space="preserve"> recomputes the digest of a fixed known order with the configured domain name and compares it to a pinned expected value. A mismatch (e.g. domain name still </w:t>
      </w:r>
      <w:r>
        <w:rPr>
          <w:rStyle w:val="SourceText"/>
        </w:rPr>
        <w:t>"Polymarket CTF Exchange"</w:t>
      </w:r>
      <w:r>
        <w:rPr/>
        <w:t>) fails startup loudly, rather than silently producing orders the exchange rejects at runtime.</w:t>
      </w:r>
    </w:p>
    <w:p>
      <w:pPr>
        <w:pStyle w:val="Heading3"/>
        <w:bidi w:val="0"/>
        <w:jc w:val="left"/>
        <w:rPr/>
      </w:pPr>
      <w:r>
        <w:rPr/>
        <w:t xml:space="preserve">9.3 Proxy meta-transaction — the </w:t>
      </w:r>
      <w:r>
        <w:rPr>
          <w:rStyle w:val="SourceText"/>
        </w:rPr>
        <w:t>rlx:</w:t>
      </w:r>
      <w:r>
        <w:rPr/>
        <w:t xml:space="preserve"> struct hash</w:t>
      </w:r>
    </w:p>
    <w:p>
      <w:pPr>
        <w:pStyle w:val="BodyText"/>
        <w:bidi w:val="0"/>
        <w:jc w:val="left"/>
        <w:rPr/>
      </w:pPr>
      <w:r>
        <w:rPr/>
        <w:t xml:space="preserve">Allowance, redeem, withdrawal, split, and merge are </w:t>
      </w:r>
      <w:r>
        <w:rPr>
          <w:rStyle w:val="Strong"/>
        </w:rPr>
        <w:t>not</w:t>
      </w:r>
      <w:r>
        <w:rPr/>
        <w:t xml:space="preserve"> EIP-712. They are GSN/RelayHub meta-transactions. The signed digest is:</w:t>
      </w:r>
    </w:p>
    <w:p>
      <w:pPr>
        <w:pStyle w:val="PreformattedText"/>
        <w:bidi w:val="0"/>
        <w:jc w:val="left"/>
        <w:rPr/>
      </w:pPr>
      <w:r>
        <w:rPr>
          <w:rStyle w:val="SourceText"/>
        </w:rPr>
        <w:t>keccak256(</w:t>
      </w:r>
    </w:p>
    <w:p>
      <w:pPr>
        <w:pStyle w:val="PreformattedText"/>
        <w:bidi w:val="0"/>
        <w:jc w:val="left"/>
        <w:rPr/>
      </w:pPr>
      <w:r>
        <w:rPr>
          <w:rStyle w:val="SourceText"/>
        </w:rPr>
        <w:t xml:space="preserve">  </w:t>
      </w:r>
      <w:r>
        <w:rPr>
          <w:rStyle w:val="SourceText"/>
        </w:rPr>
        <w:t>"rlx:" ++ from ++ to ++ data ++</w:t>
      </w:r>
    </w:p>
    <w:p>
      <w:pPr>
        <w:pStyle w:val="PreformattedText"/>
        <w:bidi w:val="0"/>
        <w:jc w:val="left"/>
        <w:rPr/>
      </w:pPr>
      <w:r>
        <w:rPr>
          <w:rStyle w:val="SourceText"/>
        </w:rPr>
        <w:t xml:space="preserve">  </w:t>
      </w:r>
      <w:r>
        <w:rPr>
          <w:rStyle w:val="SourceText"/>
        </w:rPr>
        <w:t>pad32(txFee) ++ pad32(gasPrice) ++ pad32(gasLimit) ++ pad32(nonce) ++</w:t>
      </w:r>
    </w:p>
    <w:p>
      <w:pPr>
        <w:pStyle w:val="PreformattedText"/>
        <w:bidi w:val="0"/>
        <w:jc w:val="left"/>
        <w:rPr/>
      </w:pPr>
      <w:r>
        <w:rPr>
          <w:rStyle w:val="SourceText"/>
        </w:rPr>
        <w:t xml:space="preserve">  </w:t>
      </w:r>
      <w:r>
        <w:rPr>
          <w:rStyle w:val="SourceText"/>
        </w:rPr>
        <w:t>relayHub ++ relay</w:t>
      </w:r>
    </w:p>
    <w:p>
      <w:pPr>
        <w:pStyle w:val="PreformattedText"/>
        <w:bidi w:val="0"/>
        <w:spacing w:before="0" w:after="283"/>
        <w:jc w:val="left"/>
        <w:rPr/>
      </w:pPr>
      <w:r>
        <w:rPr>
          <w:rStyle w:val="SourceText"/>
        </w:rPr>
        <w:t>)</w:t>
      </w:r>
    </w:p>
    <w:p>
      <w:pPr>
        <w:pStyle w:val="BodyText"/>
        <w:bidi w:val="0"/>
        <w:jc w:val="left"/>
        <w:rPr/>
      </w:pPr>
      <w:r>
        <w:rPr/>
        <w:t xml:space="preserve">signed with </w:t>
      </w:r>
      <w:r>
        <w:rPr>
          <w:rStyle w:val="SourceText"/>
        </w:rPr>
        <w:t>personalSign</w:t>
      </w:r>
      <w:r>
        <w:rPr/>
        <w:t xml:space="preserve"> (EIP-191) by the customer's EOA. </w:t>
      </w:r>
      <w:r>
        <w:rPr>
          <w:rStyle w:val="SourceText"/>
        </w:rPr>
        <w:t>from</w:t>
      </w:r>
      <w:r>
        <w:rPr/>
        <w:t xml:space="preserve"> = EOA, </w:t>
      </w:r>
      <w:r>
        <w:rPr>
          <w:rStyle w:val="SourceText"/>
        </w:rPr>
        <w:t>to</w:t>
      </w:r>
      <w:r>
        <w:rPr/>
        <w:t xml:space="preserve"> = proxy factory, </w:t>
      </w:r>
      <w:r>
        <w:rPr>
          <w:rStyle w:val="SourceText"/>
        </w:rPr>
        <w:t>data</w:t>
      </w:r>
      <w:r>
        <w:rPr/>
        <w:t xml:space="preserve"> = ABI-encoded </w:t>
      </w:r>
      <w:r>
        <w:rPr>
          <w:rStyle w:val="SourceText"/>
        </w:rPr>
        <w:t>proxy(ProxyCall[])</w:t>
      </w:r>
      <w:r>
        <w:rPr/>
        <w:t xml:space="preserve">, </w:t>
      </w:r>
      <w:r>
        <w:rPr>
          <w:rStyle w:val="SourceText"/>
        </w:rPr>
        <w:t>nonce</w:t>
      </w:r>
      <w:r>
        <w:rPr/>
        <w:t xml:space="preserve"> and </w:t>
      </w:r>
      <w:r>
        <w:rPr>
          <w:rStyle w:val="SourceText"/>
        </w:rPr>
        <w:t>relay</w:t>
      </w:r>
      <w:r>
        <w:rPr/>
        <w:t xml:space="preserve"> come from </w:t>
      </w:r>
      <w:r>
        <w:rPr>
          <w:rStyle w:val="SourceText"/>
        </w:rPr>
        <w:t>GET /relay-payload</w:t>
      </w:r>
      <w:r>
        <w:rPr/>
        <w:t>.</w:t>
      </w:r>
    </w:p>
    <w:p>
      <w:pPr>
        <w:pStyle w:val="BodyText"/>
        <w:bidi w:val="0"/>
        <w:jc w:val="left"/>
        <w:rPr/>
      </w:pPr>
      <w:r>
        <w:rPr/>
        <w:t xml:space="preserve">Owned by: </w:t>
      </w:r>
      <w:r>
        <w:rPr>
          <w:rStyle w:val="SourceText"/>
        </w:rPr>
        <w:t>createProxyStructHash</w:t>
      </w:r>
      <w:r>
        <w:rPr/>
        <w:t xml:space="preserve"> in </w:t>
      </w:r>
      <w:r>
        <w:rPr>
          <w:rStyle w:val="SourceText"/>
        </w:rPr>
        <w:t>proxy-encoding.ts</w:t>
      </w:r>
      <w:r>
        <w:rPr/>
        <w:t xml:space="preserve">; the encoded calls come from </w:t>
      </w:r>
      <w:r>
        <w:rPr>
          <w:rStyle w:val="SourceText"/>
        </w:rPr>
        <w:t>encodeApproveCalldata</w:t>
      </w:r>
      <w:r>
        <w:rPr/>
        <w:t xml:space="preserve">, </w:t>
      </w:r>
      <w:r>
        <w:rPr>
          <w:rStyle w:val="SourceText"/>
        </w:rPr>
        <w:t>encodeSetApprovalForAllCalldata</w:t>
      </w:r>
      <w:r>
        <w:rPr/>
        <w:t xml:space="preserve">, </w:t>
      </w:r>
      <w:r>
        <w:rPr>
          <w:rStyle w:val="SourceText"/>
        </w:rPr>
        <w:t>encodeRedeemPositionsCalldata</w:t>
      </w:r>
      <w:r>
        <w:rPr/>
        <w:t xml:space="preserve">, </w:t>
      </w:r>
      <w:r>
        <w:rPr>
          <w:rStyle w:val="SourceText"/>
        </w:rPr>
        <w:t>encodeTransferCalldata</w:t>
      </w:r>
      <w:r>
        <w:rPr/>
        <w:t xml:space="preserve">, </w:t>
      </w:r>
      <w:r>
        <w:rPr>
          <w:rStyle w:val="SourceText"/>
        </w:rPr>
        <w:t>encodeSplitPositionCalldata</w:t>
      </w:r>
      <w:r>
        <w:rPr/>
        <w:t xml:space="preserve">, </w:t>
      </w:r>
      <w:r>
        <w:rPr>
          <w:rStyle w:val="SourceText"/>
        </w:rPr>
        <w:t>encodeMergePositionsCalldata</w:t>
      </w:r>
      <w:r>
        <w:rPr/>
        <w:t xml:space="preserve">, wrapped by </w:t>
      </w:r>
      <w:r>
        <w:rPr>
          <w:rStyle w:val="SourceText"/>
        </w:rPr>
        <w:t>encodeProxyCall</w:t>
      </w:r>
      <w:r>
        <w:rPr/>
        <w:t xml:space="preserve"> / </w:t>
      </w:r>
      <w:r>
        <w:rPr>
          <w:rStyle w:val="SourceText"/>
        </w:rPr>
        <w:t>encodeProxyTransactionData</w:t>
      </w:r>
      <w:r>
        <w:rPr/>
        <w:t>.</w:t>
      </w:r>
    </w:p>
    <w:p>
      <w:pPr>
        <w:pStyle w:val="Heading3"/>
        <w:bidi w:val="0"/>
        <w:jc w:val="left"/>
        <w:rPr/>
      </w:pPr>
      <w:r>
        <w:rPr/>
        <w:t>9.4 Meta-transaction — worked example (allowance)</w:t>
      </w:r>
    </w:p>
    <w:p>
      <w:pPr>
        <w:pStyle w:val="BodyText"/>
        <w:bidi w:val="0"/>
        <w:jc w:val="left"/>
        <w:rPr/>
      </w:pPr>
      <w:r>
        <w:rPr>
          <w:rStyle w:val="SourceText"/>
        </w:rPr>
        <w:t>buildUsdcCtfAllowanceTx</w:t>
      </w:r>
      <w:r>
        <w:rPr/>
        <w:t xml:space="preserve"> produces three proxy calls in one batch:</w:t>
      </w:r>
    </w:p>
    <w:p>
      <w:pPr>
        <w:pStyle w:val="BodyText"/>
        <w:numPr>
          <w:ilvl w:val="0"/>
          <w:numId w:val="11"/>
        </w:numPr>
        <w:tabs>
          <w:tab w:val="clear" w:pos="1134"/>
          <w:tab w:val="left" w:pos="709" w:leader="none"/>
        </w:tabs>
        <w:bidi w:val="0"/>
        <w:spacing w:before="0" w:after="0"/>
        <w:ind w:hanging="283" w:left="709"/>
        <w:jc w:val="left"/>
        <w:rPr/>
      </w:pPr>
      <w:r>
        <w:rPr>
          <w:rStyle w:val="SourceText"/>
        </w:rPr>
        <w:t>USDC.approve(ctf, maxUint256)</w:t>
      </w:r>
      <w:r>
        <w:rPr/>
        <w:t xml:space="preserve"> — for split/mint </w:t>
      </w:r>
    </w:p>
    <w:p>
      <w:pPr>
        <w:pStyle w:val="BodyText"/>
        <w:numPr>
          <w:ilvl w:val="0"/>
          <w:numId w:val="11"/>
        </w:numPr>
        <w:tabs>
          <w:tab w:val="clear" w:pos="1134"/>
          <w:tab w:val="left" w:pos="709" w:leader="none"/>
        </w:tabs>
        <w:bidi w:val="0"/>
        <w:spacing w:before="0" w:after="0"/>
        <w:ind w:hanging="283" w:left="709"/>
        <w:jc w:val="left"/>
        <w:rPr/>
      </w:pPr>
      <w:r>
        <w:rPr>
          <w:rStyle w:val="SourceText"/>
        </w:rPr>
        <w:t>USDC.approve(ctfExchange, maxUint256)</w:t>
      </w:r>
      <w:r>
        <w:rPr/>
        <w:t xml:space="preserve"> — for BUY orders </w:t>
      </w:r>
    </w:p>
    <w:p>
      <w:pPr>
        <w:pStyle w:val="BodyText"/>
        <w:numPr>
          <w:ilvl w:val="0"/>
          <w:numId w:val="11"/>
        </w:numPr>
        <w:tabs>
          <w:tab w:val="clear" w:pos="1134"/>
          <w:tab w:val="left" w:pos="709" w:leader="none"/>
        </w:tabs>
        <w:bidi w:val="0"/>
        <w:ind w:hanging="283" w:left="709"/>
        <w:jc w:val="left"/>
        <w:rPr/>
      </w:pPr>
      <w:r>
        <w:rPr>
          <w:rStyle w:val="SourceText"/>
        </w:rPr>
        <w:t>CTF.setApprovalForAll(ctfExchange, true)</w:t>
      </w:r>
      <w:r>
        <w:rPr/>
        <w:t xml:space="preserve"> — for SELL orders/transfers </w:t>
      </w:r>
    </w:p>
    <w:p>
      <w:pPr>
        <w:pStyle w:val="BodyText"/>
        <w:bidi w:val="0"/>
        <w:jc w:val="left"/>
        <w:rPr/>
      </w:pPr>
      <w:r>
        <w:rPr/>
        <w:t xml:space="preserve">and returns a complete </w:t>
      </w:r>
      <w:r>
        <w:rPr>
          <w:rStyle w:val="SourceText"/>
        </w:rPr>
        <w:t>SubmitTransactionRequest</w:t>
      </w:r>
      <w:r>
        <w:rPr/>
        <w:t xml:space="preserve"> the operator POSTs verbatim to </w:t>
      </w:r>
      <w:r>
        <w:rPr>
          <w:rStyle w:val="SourceText"/>
        </w:rPr>
        <w:t>relayer-api</w:t>
      </w:r>
      <w:r>
        <w:rPr/>
        <w: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"from": "&lt;eoa&gt;",</w:t>
      </w:r>
    </w:p>
    <w:p>
      <w:pPr>
        <w:pStyle w:val="PreformattedText"/>
        <w:bidi w:val="0"/>
        <w:jc w:val="left"/>
        <w:rPr/>
      </w:pPr>
      <w:r>
        <w:rPr>
          <w:rStyle w:val="SourceText"/>
        </w:rPr>
        <w:t xml:space="preserve">  </w:t>
      </w:r>
      <w:r>
        <w:rPr>
          <w:rStyle w:val="SourceText"/>
        </w:rPr>
        <w:t>"to": "&lt;proxyFactory&gt;",</w:t>
      </w:r>
    </w:p>
    <w:p>
      <w:pPr>
        <w:pStyle w:val="PreformattedText"/>
        <w:bidi w:val="0"/>
        <w:jc w:val="left"/>
        <w:rPr/>
      </w:pPr>
      <w:r>
        <w:rPr>
          <w:rStyle w:val="SourceText"/>
        </w:rPr>
        <w:t xml:space="preserve">  </w:t>
      </w:r>
      <w:r>
        <w:rPr>
          <w:rStyle w:val="SourceText"/>
        </w:rPr>
        <w:t>"proxyWallet": "&lt;proxyWallet&gt;",</w:t>
      </w:r>
    </w:p>
    <w:p>
      <w:pPr>
        <w:pStyle w:val="PreformattedText"/>
        <w:bidi w:val="0"/>
        <w:jc w:val="left"/>
        <w:rPr/>
      </w:pPr>
      <w:r>
        <w:rPr>
          <w:rStyle w:val="SourceText"/>
        </w:rPr>
        <w:t xml:space="preserve">  </w:t>
      </w:r>
      <w:r>
        <w:rPr>
          <w:rStyle w:val="SourceText"/>
        </w:rPr>
        <w:t>"data": "0x&lt;encoded proxy(calls)&gt;",</w:t>
      </w:r>
    </w:p>
    <w:p>
      <w:pPr>
        <w:pStyle w:val="PreformattedText"/>
        <w:bidi w:val="0"/>
        <w:jc w:val="left"/>
        <w:rPr/>
      </w:pPr>
      <w:r>
        <w:rPr>
          <w:rStyle w:val="SourceText"/>
        </w:rPr>
        <w:t xml:space="preserve">  </w:t>
      </w:r>
      <w:r>
        <w:rPr>
          <w:rStyle w:val="SourceText"/>
        </w:rPr>
        <w:t>"nonce": "&lt;from relay-payload&gt;",</w:t>
      </w:r>
    </w:p>
    <w:p>
      <w:pPr>
        <w:pStyle w:val="PreformattedText"/>
        <w:bidi w:val="0"/>
        <w:jc w:val="left"/>
        <w:rPr/>
      </w:pPr>
      <w:r>
        <w:rPr>
          <w:rStyle w:val="SourceText"/>
        </w:rPr>
        <w:t xml:space="preserve">  </w:t>
      </w:r>
      <w:r>
        <w:rPr>
          <w:rStyle w:val="SourceText"/>
        </w:rPr>
        <w:t>"signature": "0x&lt;personal_sign of rlx: hash&gt;",</w:t>
      </w:r>
    </w:p>
    <w:p>
      <w:pPr>
        <w:pStyle w:val="PreformattedText"/>
        <w:bidi w:val="0"/>
        <w:jc w:val="left"/>
        <w:rPr/>
      </w:pPr>
      <w:r>
        <w:rPr>
          <w:rStyle w:val="SourceText"/>
        </w:rPr>
        <w:t xml:space="preserve">  </w:t>
      </w:r>
      <w:r>
        <w:rPr>
          <w:rStyle w:val="SourceText"/>
        </w:rPr>
        <w:t>"signatureParams": {</w:t>
      </w:r>
    </w:p>
    <w:p>
      <w:pPr>
        <w:pStyle w:val="PreformattedText"/>
        <w:bidi w:val="0"/>
        <w:jc w:val="left"/>
        <w:rPr/>
      </w:pPr>
      <w:r>
        <w:rPr>
          <w:rStyle w:val="SourceText"/>
        </w:rPr>
        <w:t xml:space="preserve">    </w:t>
      </w:r>
      <w:r>
        <w:rPr>
          <w:rStyle w:val="SourceText"/>
        </w:rPr>
        <w:t>"gasPrice": "0",</w:t>
      </w:r>
    </w:p>
    <w:p>
      <w:pPr>
        <w:pStyle w:val="PreformattedText"/>
        <w:bidi w:val="0"/>
        <w:jc w:val="left"/>
        <w:rPr/>
      </w:pPr>
      <w:r>
        <w:rPr>
          <w:rStyle w:val="SourceText"/>
        </w:rPr>
        <w:t xml:space="preserve">    </w:t>
      </w:r>
      <w:r>
        <w:rPr>
          <w:rStyle w:val="SourceText"/>
        </w:rPr>
        <w:t>"gasLimit": "300000",</w:t>
      </w:r>
    </w:p>
    <w:p>
      <w:pPr>
        <w:pStyle w:val="PreformattedText"/>
        <w:bidi w:val="0"/>
        <w:jc w:val="left"/>
        <w:rPr/>
      </w:pPr>
      <w:r>
        <w:rPr>
          <w:rStyle w:val="SourceText"/>
        </w:rPr>
        <w:t xml:space="preserve">    </w:t>
      </w:r>
      <w:r>
        <w:rPr>
          <w:rStyle w:val="SourceText"/>
        </w:rPr>
        <w:t>"relayerFee": "0",</w:t>
      </w:r>
    </w:p>
    <w:p>
      <w:pPr>
        <w:pStyle w:val="PreformattedText"/>
        <w:bidi w:val="0"/>
        <w:jc w:val="left"/>
        <w:rPr/>
      </w:pPr>
      <w:r>
        <w:rPr>
          <w:rStyle w:val="SourceText"/>
        </w:rPr>
        <w:t xml:space="preserve">    </w:t>
      </w:r>
      <w:r>
        <w:rPr>
          <w:rStyle w:val="SourceText"/>
        </w:rPr>
        <w:t>"relayHub": "&lt;relayHub&gt;",</w:t>
      </w:r>
    </w:p>
    <w:p>
      <w:pPr>
        <w:pStyle w:val="PreformattedText"/>
        <w:bidi w:val="0"/>
        <w:jc w:val="left"/>
        <w:rPr/>
      </w:pPr>
      <w:r>
        <w:rPr>
          <w:rStyle w:val="SourceText"/>
        </w:rPr>
        <w:t xml:space="preserve">    </w:t>
      </w:r>
      <w:r>
        <w:rPr>
          <w:rStyle w:val="SourceText"/>
        </w:rPr>
        <w:t>"relay": "&lt;relayer admin address&gt;"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"type": "PROXY",</w:t>
      </w:r>
    </w:p>
    <w:p>
      <w:pPr>
        <w:pStyle w:val="PreformattedText"/>
        <w:bidi w:val="0"/>
        <w:jc w:val="left"/>
        <w:rPr/>
      </w:pPr>
      <w:r>
        <w:rPr>
          <w:rStyle w:val="SourceText"/>
        </w:rPr>
        <w:t xml:space="preserve">  </w:t>
      </w:r>
      <w:r>
        <w:rPr>
          <w:rStyle w:val="SourceText"/>
        </w:rPr>
        <w:t>"metadata": "approve USDC + setApprovalForAll CTF exchange"</w:t>
      </w:r>
    </w:p>
    <w:p>
      <w:pPr>
        <w:pStyle w:val="PreformattedText"/>
        <w:bidi w:val="0"/>
        <w:spacing w:before="0" w:after="283"/>
        <w:jc w:val="left"/>
        <w:rPr/>
      </w:pPr>
      <w:r>
        <w:rPr>
          <w:rStyle w:val="SourceText"/>
        </w:rPr>
        <w:t>}</w:t>
      </w:r>
    </w:p>
    <w:p>
      <w:pPr>
        <w:pStyle w:val="Heading3"/>
        <w:bidi w:val="0"/>
        <w:jc w:val="left"/>
        <w:rPr/>
      </w:pPr>
      <w:r>
        <w:rPr/>
        <w:t xml:space="preserve">9.5 A required </w:t>
      </w:r>
      <w:r>
        <w:rPr>
          <w:rStyle w:val="SourceText"/>
        </w:rPr>
        <w:t>personalSign</w:t>
      </w:r>
      <w:r>
        <w:rPr/>
        <w:t xml:space="preserve"> detail</w:t>
      </w:r>
    </w:p>
    <w:p>
      <w:pPr>
        <w:pStyle w:val="BodyText"/>
        <w:bidi w:val="0"/>
        <w:jc w:val="left"/>
        <w:rPr/>
      </w:pPr>
      <w:r>
        <w:rPr/>
        <w:t xml:space="preserve">The SDK's EOA </w:t>
      </w:r>
      <w:r>
        <w:rPr>
          <w:rStyle w:val="SourceText"/>
        </w:rPr>
        <w:t>personalSign</w:t>
      </w:r>
      <w:r>
        <w:rPr/>
        <w:t xml:space="preserve"> branches on the message shape: a </w:t>
      </w:r>
      <w:r>
        <w:rPr>
          <w:rStyle w:val="SourceText"/>
        </w:rPr>
        <w:t>0x</w:t>
      </w:r>
      <w:r>
        <w:rPr/>
        <w:t xml:space="preserve">-prefixed hex string is signed as </w:t>
      </w:r>
      <w:r>
        <w:rPr>
          <w:rStyle w:val="Strong"/>
        </w:rPr>
        <w:t>raw bytes</w:t>
      </w:r>
      <w:r>
        <w:rPr/>
        <w:t xml:space="preserve">, anything else as </w:t>
      </w:r>
      <w:r>
        <w:rPr>
          <w:rStyle w:val="Strong"/>
        </w:rPr>
        <w:t>UTF-8</w:t>
      </w:r>
      <w:r>
        <w:rPr/>
        <w:t>:</w:t>
      </w:r>
    </w:p>
    <w:p>
      <w:pPr>
        <w:pStyle w:val="PreformattedText"/>
        <w:bidi w:val="0"/>
        <w:jc w:val="left"/>
        <w:rPr/>
      </w:pPr>
      <w:r>
        <w:rPr>
          <w:rStyle w:val="SourceText"/>
        </w:rPr>
        <w:t xml:space="preserve">    </w:t>
      </w:r>
      <w:r>
        <w:rPr>
          <w:rStyle w:val="SourceText"/>
        </w:rPr>
        <w:t>async personalSign(message: string, _address: string) {</w:t>
      </w:r>
    </w:p>
    <w:p>
      <w:pPr>
        <w:pStyle w:val="PreformattedText"/>
        <w:bidi w:val="0"/>
        <w:jc w:val="left"/>
        <w:rPr/>
      </w:pPr>
      <w:r>
        <w:rPr>
          <w:rStyle w:val="SourceText"/>
        </w:rPr>
        <w:t xml:space="preserve">      </w:t>
      </w:r>
      <w:r>
        <w:rPr>
          <w:rStyle w:val="SourceText"/>
        </w:rPr>
        <w:t>// Relayer meta-tx passes a 0x-prefixed struct hash; attestation / cancel</w:t>
      </w:r>
    </w:p>
    <w:p>
      <w:pPr>
        <w:pStyle w:val="PreformattedText"/>
        <w:bidi w:val="0"/>
        <w:jc w:val="left"/>
        <w:rPr/>
      </w:pPr>
      <w:r>
        <w:rPr>
          <w:rStyle w:val="SourceText"/>
        </w:rPr>
        <w:t xml:space="preserve">      </w:t>
      </w:r>
      <w:r>
        <w:rPr>
          <w:rStyle w:val="SourceText"/>
        </w:rPr>
        <w:t>// pass plain UTF-8. Match Magic's personal_sign behavior.</w:t>
      </w:r>
    </w:p>
    <w:p>
      <w:pPr>
        <w:pStyle w:val="PreformattedText"/>
        <w:bidi w:val="0"/>
        <w:jc w:val="left"/>
        <w:rPr/>
      </w:pPr>
      <w:r>
        <w:rPr>
          <w:rStyle w:val="SourceText"/>
        </w:rPr>
        <w:t xml:space="preserve">      </w:t>
      </w:r>
      <w:r>
        <w:rPr>
          <w:rStyle w:val="SourceText"/>
        </w:rPr>
        <w:t>if (message.startsWith("0x") &amp;&amp; /^0x[0-9a-fA-F]+$/.test(message)) {</w:t>
      </w:r>
    </w:p>
    <w:p>
      <w:pPr>
        <w:pStyle w:val="PreformattedText"/>
        <w:bidi w:val="0"/>
        <w:jc w:val="left"/>
        <w:rPr/>
      </w:pPr>
      <w:r>
        <w:rPr>
          <w:rStyle w:val="SourceText"/>
        </w:rPr>
        <w:t xml:space="preserve">        </w:t>
      </w:r>
      <w:r>
        <w:rPr>
          <w:rStyle w:val="SourceText"/>
        </w:rPr>
        <w:t>return account.signMessage({ message: { raw: message as Hex } });</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return account.signMessage({ message });</w:t>
      </w:r>
    </w:p>
    <w:p>
      <w:pPr>
        <w:pStyle w:val="PreformattedText"/>
        <w:bidi w:val="0"/>
        <w:spacing w:before="0" w:after="283"/>
        <w:jc w:val="left"/>
        <w:rPr/>
      </w:pPr>
      <w:r>
        <w:rPr>
          <w:rStyle w:val="SourceText"/>
        </w:rPr>
        <w:t xml:space="preserve">    </w:t>
      </w:r>
      <w:r>
        <w:rPr>
          <w:rStyle w:val="SourceText"/>
        </w:rPr>
        <w:t>},</w:t>
      </w:r>
    </w:p>
    <w:p>
      <w:pPr>
        <w:pStyle w:val="BodyText"/>
        <w:bidi w:val="0"/>
        <w:jc w:val="left"/>
        <w:rPr/>
      </w:pPr>
      <w:r>
        <w:rPr/>
        <w:t xml:space="preserve">Both </w:t>
      </w:r>
      <w:r>
        <w:rPr>
          <w:rStyle w:val="SourceText"/>
        </w:rPr>
        <w:t>KeyVault</w:t>
      </w:r>
      <w:r>
        <w:rPr/>
        <w:t xml:space="preserve"> implementations (mnemonic and Turnkey) </w:t>
      </w:r>
      <w:r>
        <w:rPr>
          <w:rStyle w:val="Strong"/>
        </w:rPr>
        <w:t>must reproduce this branch exactly</w:t>
      </w:r>
      <w:r>
        <w:rPr/>
        <w:t xml:space="preserve">. The </w:t>
      </w:r>
      <w:r>
        <w:rPr>
          <w:rStyle w:val="SourceText"/>
        </w:rPr>
        <w:t>rlx:</w:t>
      </w:r>
      <w:r>
        <w:rPr/>
        <w:t xml:space="preserve"> struct hash is hex and must be signed as raw bytes; a cancel message is UTF-8. Getting this wrong computes the signature over the wrong preimage and the RelayHub rejects it.</w:t>
      </w:r>
    </w:p>
    <w:p>
      <w:pPr>
        <w:pStyle w:val="Heading3"/>
        <w:bidi w:val="0"/>
        <w:jc w:val="left"/>
        <w:rPr/>
      </w:pPr>
      <w:r>
        <w:rPr/>
        <w:t>9.6 Cancel message</w:t>
      </w:r>
    </w:p>
    <w:p>
      <w:pPr>
        <w:pStyle w:val="BodyText"/>
        <w:bidi w:val="0"/>
        <w:jc w:val="left"/>
        <w:rPr/>
      </w:pPr>
      <w:r>
        <w:rPr/>
        <w:t xml:space="preserve">Order cancellation uses EIP-191 </w:t>
      </w:r>
      <w:r>
        <w:rPr>
          <w:rStyle w:val="SourceText"/>
        </w:rPr>
        <w:t>personal_sign</w:t>
      </w:r>
      <w:r>
        <w:rPr/>
        <w:t xml:space="preserve"> of the plaintext:</w:t>
      </w:r>
    </w:p>
    <w:p>
      <w:pPr>
        <w:pStyle w:val="PreformattedText"/>
        <w:bidi w:val="0"/>
        <w:spacing w:before="0" w:after="283"/>
        <w:jc w:val="left"/>
        <w:rPr/>
      </w:pPr>
      <w:r>
        <w:rPr>
          <w:rStyle w:val="SourceText"/>
        </w:rPr>
        <w:t>Cancel order: &lt;orderHash&gt; on market: &lt;marketId&gt;</w:t>
      </w:r>
    </w:p>
    <w:p>
      <w:pPr>
        <w:pStyle w:val="BodyText"/>
        <w:bidi w:val="0"/>
        <w:jc w:val="left"/>
        <w:rPr/>
      </w:pPr>
      <w:r>
        <w:rPr/>
        <w:t xml:space="preserve">Owned by: </w:t>
      </w:r>
      <w:r>
        <w:rPr>
          <w:rStyle w:val="SourceText"/>
        </w:rPr>
        <w:t>formatCancelOrderMessage</w:t>
      </w:r>
      <w:r>
        <w:rPr/>
        <w:t xml:space="preserve"> in </w:t>
      </w:r>
      <w:r>
        <w:rPr>
          <w:rStyle w:val="SourceText"/>
        </w:rPr>
        <w:t>clob-order.ts</w:t>
      </w:r>
      <w:r>
        <w:rPr/>
        <w:t xml:space="preserve">; the </w:t>
      </w:r>
      <w:r>
        <w:rPr>
          <w:rStyle w:val="SourceText"/>
        </w:rPr>
        <w:t>dpmw</w:t>
      </w:r>
      <w:r>
        <w:rPr/>
        <w:t xml:space="preserve"> converts to hex with viem's </w:t>
      </w:r>
      <w:r>
        <w:rPr>
          <w:rStyle w:val="SourceText"/>
        </w:rPr>
        <w:t>toHex</w:t>
      </w:r>
      <w:r>
        <w:rPr/>
        <w:t xml:space="preserve"> before signing (matching provider behaviour), then returns the signature.</w:t>
      </w:r>
    </w:p>
    <w:p>
      <w:pPr>
        <w:pStyle w:val="Heading3"/>
        <w:bidi w:val="0"/>
        <w:jc w:val="left"/>
        <w:rPr/>
      </w:pPr>
      <w:r>
        <w:rPr/>
        <w:t>9.7 Raw treasury transaction</w:t>
      </w:r>
    </w:p>
    <w:p>
      <w:pPr>
        <w:pStyle w:val="BodyText"/>
        <w:bidi w:val="0"/>
        <w:jc w:val="left"/>
        <w:rPr/>
      </w:pPr>
      <w:r>
        <w:rPr/>
        <w:t xml:space="preserve">Master ↔ operational rebalancing and master → external transfers are ordinary EVM transactions serialised and signed with </w:t>
      </w:r>
      <w:r>
        <w:rPr>
          <w:rStyle w:val="SourceText"/>
        </w:rPr>
        <w:t>KeyVault.signTransaction</w:t>
      </w:r>
      <w:r>
        <w:rPr/>
        <w:t xml:space="preserve">. The </w:t>
      </w:r>
      <w:r>
        <w:rPr>
          <w:rStyle w:val="SourceText"/>
        </w:rPr>
        <w:t>dpmw</w:t>
      </w:r>
      <w:r>
        <w:rPr/>
        <w:t xml:space="preserve"> returns the </w:t>
      </w:r>
      <w:r>
        <w:rPr>
          <w:rStyle w:val="Strong"/>
        </w:rPr>
        <w:t>signed transaction hex</w:t>
      </w:r>
      <w:r>
        <w:rPr/>
        <w:t>; broadcasting is out of v1 scope. Master → external is documented as bypassing the Plaee proxy per the product security constraint.</w:t>
      </w:r>
    </w:p>
    <w:p>
      <w:pPr>
        <w:pStyle w:val="HorizontalLine"/>
        <w:bidi w:val="0"/>
        <w:jc w:val="left"/>
        <w:rPr/>
      </w:pPr>
      <w:r>
        <w:rPr/>
      </w:r>
    </w:p>
    <w:p>
      <w:pPr>
        <w:pStyle w:val="Heading2"/>
        <w:bidi w:val="0"/>
        <w:jc w:val="left"/>
        <w:rPr/>
      </w:pPr>
      <w:r>
        <w:rPr/>
        <w:t>10. HTTP API</w:t>
      </w:r>
    </w:p>
    <w:p>
      <w:pPr>
        <w:pStyle w:val="BodyText"/>
        <w:bidi w:val="0"/>
        <w:jc w:val="left"/>
        <w:rPr/>
      </w:pPr>
      <w:r>
        <w:rPr/>
        <w:t xml:space="preserve">Base path: </w:t>
      </w:r>
      <w:r>
        <w:rPr>
          <w:rStyle w:val="SourceText"/>
        </w:rPr>
        <w:t>/v1</w:t>
      </w:r>
      <w:r>
        <w:rPr/>
        <w:t xml:space="preserve">. All requests require the inbound </w:t>
      </w:r>
      <w:r>
        <w:rPr>
          <w:rStyle w:val="SourceText"/>
        </w:rPr>
        <w:t>X-API-Key</w:t>
      </w:r>
      <w:r>
        <w:rPr/>
        <w:t xml:space="preserve"> header (</w:t>
      </w:r>
      <w:hyperlink w:anchor="12-security">
        <w:r>
          <w:rPr>
            <w:rStyle w:val="Hyperlink"/>
          </w:rPr>
          <w:t>Section 12</w:t>
        </w:r>
      </w:hyperlink>
      <w:r>
        <w:rPr/>
        <w:t xml:space="preserve">). All bodies are validated with zod; a validation failure returns </w:t>
      </w:r>
      <w:r>
        <w:rPr>
          <w:rStyle w:val="SourceText"/>
        </w:rPr>
        <w:t>400</w:t>
      </w:r>
      <w:r>
        <w:rPr/>
        <w:t xml:space="preserve"> with the error envelope. All responses are JSON.</w:t>
      </w:r>
    </w:p>
    <w:p>
      <w:pPr>
        <w:pStyle w:val="Heading3"/>
        <w:bidi w:val="0"/>
        <w:jc w:val="left"/>
        <w:rPr/>
      </w:pPr>
      <w:r>
        <w:rPr/>
        <w:t>10.1 Error envelope</w:t>
      </w:r>
    </w:p>
    <w:p>
      <w:pPr>
        <w:pStyle w:val="PreformattedText"/>
        <w:bidi w:val="0"/>
        <w:spacing w:before="0" w:after="283"/>
        <w:jc w:val="left"/>
        <w:rPr/>
      </w:pPr>
      <w:r>
        <w:rPr>
          <w:rStyle w:val="SourceText"/>
        </w:rPr>
        <w:t>{ "error": { "code": "STRING_CODE", "message": "human readable", "details": {} } }</w:t>
      </w:r>
    </w:p>
    <w:tbl>
      <w:tblPr>
        <w:tblW w:w="5000" w:type="pct"/>
        <w:jc w:val="left"/>
        <w:tblInd w:w="45" w:type="dxa"/>
        <w:tblLayout w:type="fixed"/>
        <w:tblCellMar>
          <w:top w:w="45" w:type="dxa"/>
          <w:left w:w="45" w:type="dxa"/>
          <w:bottom w:w="45" w:type="dxa"/>
          <w:right w:w="45" w:type="dxa"/>
        </w:tblCellMar>
      </w:tblPr>
      <w:tblGrid>
        <w:gridCol w:w="2616"/>
        <w:gridCol w:w="570"/>
        <w:gridCol w:w="8153"/>
      </w:tblGrid>
      <w:tr>
        <w:trPr>
          <w:tblHeader w:val="true"/>
        </w:trPr>
        <w:tc>
          <w:tcPr>
            <w:tcW w:w="261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Code</w:t>
            </w:r>
          </w:p>
        </w:tc>
        <w:tc>
          <w:tcPr>
            <w:tcW w:w="5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HTTP</w:t>
            </w:r>
          </w:p>
        </w:tc>
        <w:tc>
          <w:tcPr>
            <w:tcW w:w="815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Meaning</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UNAUTHORIZED</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401</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Missing/invalid API key.</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VALIDATION_FAILED</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400</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zod validation error.</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VAULT_NOT_INITIALIZED</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409</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Master not yet created.</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ADDRESS_NOT_FOUND</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404</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Unknown customer ref / address.</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CUSTOMER_NOT_REGISTERED</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409</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EOA not yet registered with DPM; relay-payload unavailable.</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RELAYER_UNAVAILABLE</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502</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GET /relay-payload</w:t>
            </w:r>
            <w:r>
              <w:rPr/>
              <w:t xml:space="preserve"> failed.</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MASTER_NOT_SIGNABLE</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409</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The master wallet is externally custodied; the </w:t>
            </w:r>
            <w:r>
              <w:rPr>
                <w:rStyle w:val="SourceText"/>
              </w:rPr>
              <w:t>dpmw</w:t>
            </w:r>
            <w:r>
              <w:rPr/>
              <w:t xml:space="preserve"> cannot sign that leg (see §6.6).</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SIGNING_FAILED</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500</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Vault/provider signing error.</w:t>
            </w:r>
          </w:p>
        </w:tc>
      </w:tr>
      <w:tr>
        <w:trPr/>
        <w:tc>
          <w:tcPr>
            <w:tcW w:w="2616"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POLICY_VIOLATION</w:t>
            </w:r>
          </w:p>
        </w:tc>
        <w:tc>
          <w:tcPr>
            <w:tcW w:w="5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403</w:t>
            </w:r>
          </w:p>
        </w:tc>
        <w:tc>
          <w:tcPr>
            <w:tcW w:w="8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Destination or recipient disallowed by policy (treasury allowlist, or an order recipient that is not the operational/a customer wallet).</w:t>
            </w:r>
          </w:p>
        </w:tc>
      </w:tr>
      <w:tr>
        <w:trPr/>
        <w:tc>
          <w:tcPr>
            <w:tcW w:w="2616"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IDEMPOTENCY_CONFLICT</w:t>
            </w:r>
          </w:p>
        </w:tc>
        <w:tc>
          <w:tcPr>
            <w:tcW w:w="57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409</w:t>
            </w:r>
          </w:p>
        </w:tc>
        <w:tc>
          <w:tcPr>
            <w:tcW w:w="815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Same idempotency key, different body.</w:t>
            </w:r>
          </w:p>
        </w:tc>
      </w:tr>
    </w:tbl>
    <w:p>
      <w:pPr>
        <w:pStyle w:val="Heading3"/>
        <w:bidi w:val="0"/>
        <w:jc w:val="left"/>
        <w:rPr/>
      </w:pPr>
      <w:r>
        <w:rPr/>
        <w:t>10.2 Vault</w:t>
      </w:r>
    </w:p>
    <w:tbl>
      <w:tblPr>
        <w:tblW w:w="5000" w:type="pct"/>
        <w:jc w:val="left"/>
        <w:tblInd w:w="45" w:type="dxa"/>
        <w:tblLayout w:type="fixed"/>
        <w:tblCellMar>
          <w:top w:w="45" w:type="dxa"/>
          <w:left w:w="45" w:type="dxa"/>
          <w:bottom w:w="45" w:type="dxa"/>
          <w:right w:w="45" w:type="dxa"/>
        </w:tblCellMar>
      </w:tblPr>
      <w:tblGrid>
        <w:gridCol w:w="821"/>
        <w:gridCol w:w="1655"/>
        <w:gridCol w:w="8863"/>
      </w:tblGrid>
      <w:tr>
        <w:trPr>
          <w:tblHeader w:val="true"/>
        </w:trPr>
        <w:tc>
          <w:tcPr>
            <w:tcW w:w="82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Method</w:t>
            </w:r>
          </w:p>
        </w:tc>
        <w:tc>
          <w:tcPr>
            <w:tcW w:w="165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Path</w:t>
            </w:r>
          </w:p>
        </w:tc>
        <w:tc>
          <w:tcPr>
            <w:tcW w:w="88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Purpose</w:t>
            </w:r>
          </w:p>
        </w:tc>
      </w:tr>
      <w:tr>
        <w:trPr/>
        <w:tc>
          <w:tcPr>
            <w:tcW w:w="8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GET</w:t>
            </w:r>
          </w:p>
        </w:tc>
        <w:tc>
          <w:tcPr>
            <w:tcW w:w="1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/v1/health</w:t>
            </w:r>
          </w:p>
        </w:tc>
        <w:tc>
          <w:tcPr>
            <w:tcW w:w="886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Liveness + vault health. Public (no key), per prediction-gateway convention.</w:t>
            </w:r>
          </w:p>
        </w:tc>
      </w:tr>
      <w:tr>
        <w:trPr/>
        <w:tc>
          <w:tcPr>
            <w:tcW w:w="8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1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/v1/vault/init</w:t>
            </w:r>
          </w:p>
        </w:tc>
        <w:tc>
          <w:tcPr>
            <w:tcW w:w="886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First-run: establish the master (internal or external) per config. Idempotent.</w:t>
            </w:r>
          </w:p>
        </w:tc>
      </w:tr>
      <w:tr>
        <w:trPr/>
        <w:tc>
          <w:tcPr>
            <w:tcW w:w="82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GET</w:t>
            </w:r>
          </w:p>
        </w:tc>
        <w:tc>
          <w:tcPr>
            <w:tcW w:w="1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/v1/vault/status</w:t>
            </w:r>
          </w:p>
        </w:tc>
        <w:tc>
          <w:tcPr>
            <w:tcW w:w="886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 mode, initialized, master: { address, location, signable, custodian? }, operationalAddress }</w:t>
            </w:r>
            <w:r>
              <w:rPr/>
              <w:t>.</w:t>
            </w:r>
          </w:p>
        </w:tc>
      </w:tr>
      <w:tr>
        <w:trPr/>
        <w:tc>
          <w:tcPr>
            <w:tcW w:w="82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POST</w:t>
            </w:r>
          </w:p>
        </w:tc>
        <w:tc>
          <w:tcPr>
            <w:tcW w:w="165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/v1/vault/export</w:t>
            </w:r>
          </w:p>
        </w:tc>
        <w:tc>
          <w:tcPr>
            <w:tcW w:w="886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Mnemonic mode only: returns </w:t>
            </w:r>
            <w:r>
              <w:rPr>
                <w:rStyle w:val="Strong"/>
              </w:rPr>
              <w:t>encrypted</w:t>
            </w:r>
            <w:r>
              <w:rPr/>
              <w:t xml:space="preserve"> keystore; requires passphrase re-presentation.</w:t>
            </w:r>
          </w:p>
        </w:tc>
      </w:tr>
    </w:tbl>
    <w:p>
      <w:pPr>
        <w:pStyle w:val="BodyText"/>
        <w:bidi w:val="0"/>
        <w:jc w:val="left"/>
        <w:rPr/>
      </w:pPr>
      <w:r>
        <w:rPr>
          <w:rStyle w:val="SourceText"/>
        </w:rPr>
        <w:t>POST /v1/vault/init</w:t>
      </w:r>
      <w:r>
        <w:rPr/>
        <w:t xml:space="preserve"> response (internal master):</w:t>
      </w:r>
    </w:p>
    <w:p>
      <w:pPr>
        <w:pStyle w:val="PreformattedText"/>
        <w:bidi w:val="0"/>
        <w:spacing w:before="0" w:after="283"/>
        <w:jc w:val="left"/>
        <w:rPr/>
      </w:pPr>
      <w:r>
        <w:rPr>
          <w:rStyle w:val="SourceText"/>
        </w:rPr>
        <w:t>{ "mode": "mnemonic", "master": { "address": "0x…", "location": "internal", "index": 0, "signable": true } }</w:t>
      </w:r>
    </w:p>
    <w:p>
      <w:pPr>
        <w:pStyle w:val="BodyText"/>
        <w:bidi w:val="0"/>
        <w:jc w:val="left"/>
        <w:rPr/>
      </w:pPr>
      <w:r>
        <w:rPr>
          <w:rStyle w:val="SourceText"/>
        </w:rPr>
        <w:t>POST /v1/vault/init</w:t>
      </w:r>
      <w:r>
        <w:rPr/>
        <w:t xml:space="preserve"> response (external master):</w:t>
      </w:r>
    </w:p>
    <w:p>
      <w:pPr>
        <w:pStyle w:val="PreformattedText"/>
        <w:bidi w:val="0"/>
        <w:spacing w:before="0" w:after="283"/>
        <w:jc w:val="left"/>
        <w:rPr/>
      </w:pPr>
      <w:r>
        <w:rPr>
          <w:rStyle w:val="SourceText"/>
        </w:rPr>
        <w:t>{ "mode": "turnkey", "master": { "address": "0x…", "location": "external", "custodian": "fireblocks", "signable": false } }</w:t>
      </w:r>
    </w:p>
    <w:p>
      <w:pPr>
        <w:pStyle w:val="Heading3"/>
        <w:bidi w:val="0"/>
        <w:jc w:val="left"/>
        <w:rPr/>
      </w:pPr>
      <w:r>
        <w:rPr/>
        <w:t>10.3 Addresses</w:t>
      </w:r>
    </w:p>
    <w:tbl>
      <w:tblPr>
        <w:tblW w:w="5000" w:type="pct"/>
        <w:jc w:val="left"/>
        <w:tblInd w:w="45" w:type="dxa"/>
        <w:tblLayout w:type="fixed"/>
        <w:tblCellMar>
          <w:top w:w="45" w:type="dxa"/>
          <w:left w:w="45" w:type="dxa"/>
          <w:bottom w:w="45" w:type="dxa"/>
          <w:right w:w="45" w:type="dxa"/>
        </w:tblCellMar>
      </w:tblPr>
      <w:tblGrid>
        <w:gridCol w:w="1132"/>
        <w:gridCol w:w="2840"/>
        <w:gridCol w:w="7366"/>
      </w:tblGrid>
      <w:tr>
        <w:trPr>
          <w:tblHeader w:val="true"/>
        </w:trPr>
        <w:tc>
          <w:tcPr>
            <w:tcW w:w="113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Method</w:t>
            </w:r>
          </w:p>
        </w:tc>
        <w:tc>
          <w:tcPr>
            <w:tcW w:w="284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Path</w:t>
            </w:r>
          </w:p>
        </w:tc>
        <w:tc>
          <w:tcPr>
            <w:tcW w:w="73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Purpose</w:t>
            </w:r>
          </w:p>
        </w:tc>
      </w:tr>
      <w:tr>
        <w:trPr/>
        <w:tc>
          <w:tcPr>
            <w:tcW w:w="11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284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/v1/addresses</w:t>
            </w:r>
          </w:p>
        </w:tc>
        <w:tc>
          <w:tcPr>
            <w:tcW w:w="73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Create the next customer wallet; returns EOA + derived proxy.</w:t>
            </w:r>
          </w:p>
        </w:tc>
      </w:tr>
      <w:tr>
        <w:trPr/>
        <w:tc>
          <w:tcPr>
            <w:tcW w:w="11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GET</w:t>
            </w:r>
          </w:p>
        </w:tc>
        <w:tc>
          <w:tcPr>
            <w:tcW w:w="284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/v1/addresses</w:t>
            </w:r>
          </w:p>
        </w:tc>
        <w:tc>
          <w:tcPr>
            <w:tcW w:w="736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List addresses (paginated).</w:t>
            </w:r>
          </w:p>
        </w:tc>
      </w:tr>
      <w:tr>
        <w:trPr/>
        <w:tc>
          <w:tcPr>
            <w:tcW w:w="113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GET</w:t>
            </w:r>
          </w:p>
        </w:tc>
        <w:tc>
          <w:tcPr>
            <w:tcW w:w="284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/v1/addresses/:ref</w:t>
            </w:r>
          </w:p>
        </w:tc>
        <w:tc>
          <w:tcPr>
            <w:tcW w:w="736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Look up one address by customer ref.</w:t>
            </w:r>
          </w:p>
        </w:tc>
      </w:tr>
    </w:tbl>
    <w:p>
      <w:pPr>
        <w:pStyle w:val="BodyText"/>
        <w:bidi w:val="0"/>
        <w:jc w:val="left"/>
        <w:rPr/>
      </w:pPr>
      <w:r>
        <w:rPr>
          <w:rStyle w:val="SourceText"/>
        </w:rPr>
        <w:t>POST /v1/addresses</w:t>
      </w:r>
      <w:r>
        <w:rPr/>
        <w:t xml:space="preserve"> request:</w:t>
      </w:r>
    </w:p>
    <w:p>
      <w:pPr>
        <w:pStyle w:val="PreformattedText"/>
        <w:bidi w:val="0"/>
        <w:spacing w:before="0" w:after="283"/>
        <w:jc w:val="left"/>
        <w:rPr/>
      </w:pPr>
      <w:r>
        <w:rPr>
          <w:rStyle w:val="SourceText"/>
        </w:rPr>
        <w:t>{ "ref": "customer-12345", "role": "customer" }</w:t>
      </w:r>
    </w:p>
    <w:p>
      <w:pPr>
        <w:pStyle w:val="BodyText"/>
        <w:bidi w:val="0"/>
        <w:jc w:val="left"/>
        <w:rPr/>
      </w:pPr>
      <w:r>
        <w:rPr/>
        <w:t>Response:</w:t>
      </w:r>
    </w:p>
    <w:p>
      <w:pPr>
        <w:pStyle w:val="PreformattedText"/>
        <w:bidi w:val="0"/>
        <w:spacing w:before="0" w:after="283"/>
        <w:jc w:val="left"/>
        <w:rPr/>
      </w:pPr>
      <w:r>
        <w:rPr>
          <w:rStyle w:val="SourceText"/>
        </w:rPr>
        <w:t>{ "ref": "customer-12345", "index": 2, "address": "0x&lt;eoa&gt;", "proxyAddress": "0x&lt;proxy&gt;" }</w:t>
      </w:r>
    </w:p>
    <w:p>
      <w:pPr>
        <w:pStyle w:val="BodyText"/>
        <w:bidi w:val="0"/>
        <w:jc w:val="left"/>
        <w:rPr/>
      </w:pPr>
      <w:r>
        <w:rPr>
          <w:rStyle w:val="SourceText"/>
        </w:rPr>
        <w:t>role</w:t>
      </w:r>
      <w:r>
        <w:rPr/>
        <w:t xml:space="preserve"> is one of </w:t>
      </w:r>
      <w:r>
        <w:rPr>
          <w:rStyle w:val="SourceText"/>
        </w:rPr>
        <w:t>customer</w:t>
      </w:r>
      <w:r>
        <w:rPr/>
        <w:t xml:space="preserve"> (default) or </w:t>
      </w:r>
      <w:r>
        <w:rPr>
          <w:rStyle w:val="SourceText"/>
        </w:rPr>
        <w:t>operational</w:t>
      </w:r>
      <w:r>
        <w:rPr/>
        <w:t xml:space="preserve"> (index 1, created once). The master is created only via </w:t>
      </w:r>
      <w:r>
        <w:rPr>
          <w:rStyle w:val="SourceText"/>
        </w:rPr>
        <w:t>/v1/vault/init</w:t>
      </w:r>
      <w:r>
        <w:rPr/>
        <w:t>.</w:t>
      </w:r>
    </w:p>
    <w:p>
      <w:pPr>
        <w:pStyle w:val="Heading3"/>
        <w:bidi w:val="0"/>
        <w:jc w:val="left"/>
        <w:rPr/>
      </w:pPr>
      <w:r>
        <w:rPr/>
        <w:t>10.4 Order signing</w:t>
      </w:r>
    </w:p>
    <w:tbl>
      <w:tblPr>
        <w:tblW w:w="5000" w:type="pct"/>
        <w:jc w:val="left"/>
        <w:tblInd w:w="45" w:type="dxa"/>
        <w:tblLayout w:type="fixed"/>
        <w:tblCellMar>
          <w:top w:w="45" w:type="dxa"/>
          <w:left w:w="45" w:type="dxa"/>
          <w:bottom w:w="45" w:type="dxa"/>
          <w:right w:w="45" w:type="dxa"/>
        </w:tblCellMar>
      </w:tblPr>
      <w:tblGrid>
        <w:gridCol w:w="1418"/>
        <w:gridCol w:w="2996"/>
        <w:gridCol w:w="6924"/>
      </w:tblGrid>
      <w:tr>
        <w:trPr>
          <w:tblHeader w:val="true"/>
        </w:trPr>
        <w:tc>
          <w:tcPr>
            <w:tcW w:w="141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Method</w:t>
            </w:r>
          </w:p>
        </w:tc>
        <w:tc>
          <w:tcPr>
            <w:tcW w:w="29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Path</w:t>
            </w:r>
          </w:p>
        </w:tc>
        <w:tc>
          <w:tcPr>
            <w:tcW w:w="692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Purpose</w:t>
            </w:r>
          </w:p>
        </w:tc>
      </w:tr>
      <w:tr>
        <w:trPr/>
        <w:tc>
          <w:tcPr>
            <w:tcW w:w="141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29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/v1/sign/order</w:t>
            </w:r>
          </w:p>
        </w:tc>
        <w:tc>
          <w:tcPr>
            <w:tcW w:w="692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Build + sign an order; return the signed order.</w:t>
            </w:r>
          </w:p>
        </w:tc>
      </w:tr>
      <w:tr>
        <w:trPr/>
        <w:tc>
          <w:tcPr>
            <w:tcW w:w="141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POST</w:t>
            </w:r>
          </w:p>
        </w:tc>
        <w:tc>
          <w:tcPr>
            <w:tcW w:w="29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/v1/sign/cancel</w:t>
            </w:r>
          </w:p>
        </w:tc>
        <w:tc>
          <w:tcPr>
            <w:tcW w:w="692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Sign a cancel message for an existing order.</w:t>
            </w:r>
          </w:p>
        </w:tc>
      </w:tr>
    </w:tbl>
    <w:p>
      <w:pPr>
        <w:pStyle w:val="BodyText"/>
        <w:bidi w:val="0"/>
        <w:jc w:val="left"/>
        <w:rPr/>
      </w:pPr>
      <w:r>
        <w:rPr>
          <w:rStyle w:val="SourceText"/>
        </w:rPr>
        <w:t>POST /v1/sign/order</w:t>
      </w:r>
      <w:r>
        <w:rPr/>
        <w:t xml:space="preserve"> request: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"ref": "customer-12345",</w:t>
      </w:r>
    </w:p>
    <w:p>
      <w:pPr>
        <w:pStyle w:val="PreformattedText"/>
        <w:bidi w:val="0"/>
        <w:jc w:val="left"/>
        <w:rPr/>
      </w:pPr>
      <w:r>
        <w:rPr>
          <w:rStyle w:val="SourceText"/>
        </w:rPr>
        <w:t xml:space="preserve">  </w:t>
      </w:r>
      <w:r>
        <w:rPr>
          <w:rStyle w:val="SourceText"/>
        </w:rPr>
        <w:t>"side": 0,</w:t>
      </w:r>
    </w:p>
    <w:p>
      <w:pPr>
        <w:pStyle w:val="PreformattedText"/>
        <w:bidi w:val="0"/>
        <w:jc w:val="left"/>
        <w:rPr/>
      </w:pPr>
      <w:r>
        <w:rPr>
          <w:rStyle w:val="SourceText"/>
        </w:rPr>
        <w:t xml:space="preserve">  </w:t>
      </w:r>
      <w:r>
        <w:rPr>
          <w:rStyle w:val="SourceText"/>
        </w:rPr>
        <w:t>"tokenId": "71321045…",</w:t>
      </w:r>
    </w:p>
    <w:p>
      <w:pPr>
        <w:pStyle w:val="PreformattedText"/>
        <w:bidi w:val="0"/>
        <w:jc w:val="left"/>
        <w:rPr/>
      </w:pPr>
      <w:r>
        <w:rPr>
          <w:rStyle w:val="SourceText"/>
        </w:rPr>
        <w:t xml:space="preserve">  </w:t>
      </w:r>
      <w:r>
        <w:rPr>
          <w:rStyle w:val="SourceText"/>
        </w:rPr>
        <w:t>"shares": 100,</w:t>
      </w:r>
    </w:p>
    <w:p>
      <w:pPr>
        <w:pStyle w:val="PreformattedText"/>
        <w:bidi w:val="0"/>
        <w:jc w:val="left"/>
        <w:rPr/>
      </w:pPr>
      <w:r>
        <w:rPr>
          <w:rStyle w:val="SourceText"/>
        </w:rPr>
        <w:t xml:space="preserve">  </w:t>
      </w:r>
      <w:r>
        <w:rPr>
          <w:rStyle w:val="SourceText"/>
        </w:rPr>
        <w:t>"price": 0.40,</w:t>
      </w:r>
    </w:p>
    <w:p>
      <w:pPr>
        <w:pStyle w:val="PreformattedText"/>
        <w:bidi w:val="0"/>
        <w:jc w:val="left"/>
        <w:rPr/>
      </w:pPr>
      <w:r>
        <w:rPr>
          <w:rStyle w:val="SourceText"/>
        </w:rPr>
        <w:t xml:space="preserve">  </w:t>
      </w:r>
      <w:r>
        <w:rPr>
          <w:rStyle w:val="SourceText"/>
        </w:rPr>
        <w:t>"feeRateBps": 200,</w:t>
      </w:r>
    </w:p>
    <w:p>
      <w:pPr>
        <w:pStyle w:val="PreformattedText"/>
        <w:bidi w:val="0"/>
        <w:jc w:val="left"/>
        <w:rPr/>
      </w:pPr>
      <w:r>
        <w:rPr>
          <w:rStyle w:val="SourceText"/>
        </w:rPr>
        <w:t xml:space="preserve">  </w:t>
      </w:r>
      <w:r>
        <w:rPr>
          <w:rStyle w:val="SourceText"/>
        </w:rPr>
        <w:t>"recipient": "0x&lt;operator-supplied, optional&gt;"</w:t>
      </w:r>
    </w:p>
    <w:p>
      <w:pPr>
        <w:pStyle w:val="PreformattedText"/>
        <w:bidi w:val="0"/>
        <w:spacing w:before="0" w:after="283"/>
        <w:jc w:val="left"/>
        <w:rPr/>
      </w:pPr>
      <w:r>
        <w:rPr>
          <w:rStyle w:val="SourceText"/>
        </w:rPr>
        <w:t>}</w:t>
      </w:r>
    </w:p>
    <w:p>
      <w:pPr>
        <w:pStyle w:val="BodyText"/>
        <w:bidi w:val="0"/>
        <w:jc w:val="left"/>
        <w:rPr/>
      </w:pPr>
      <w:r>
        <w:rPr/>
        <w:t>Response:</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"order": { "salt": "…", "maker": "0x…", "signer": "0x…", "taker": "0x0…0",</w:t>
      </w:r>
    </w:p>
    <w:p>
      <w:pPr>
        <w:pStyle w:val="PreformattedText"/>
        <w:bidi w:val="0"/>
        <w:jc w:val="left"/>
        <w:rPr/>
      </w:pPr>
      <w:r>
        <w:rPr>
          <w:rStyle w:val="SourceText"/>
        </w:rPr>
        <w:t xml:space="preserve">             </w:t>
      </w:r>
      <w:r>
        <w:rPr>
          <w:rStyle w:val="SourceText"/>
        </w:rPr>
        <w:t>"recipient": "0x…", "tokenId": "…", "makerAmount": "40000000",</w:t>
      </w:r>
    </w:p>
    <w:p>
      <w:pPr>
        <w:pStyle w:val="PreformattedText"/>
        <w:bidi w:val="0"/>
        <w:jc w:val="left"/>
        <w:rPr/>
      </w:pPr>
      <w:r>
        <w:rPr>
          <w:rStyle w:val="SourceText"/>
        </w:rPr>
        <w:t xml:space="preserve">             </w:t>
      </w:r>
      <w:r>
        <w:rPr>
          <w:rStyle w:val="SourceText"/>
        </w:rPr>
        <w:t>"takerAmount": "100000000", "expiration": "0", "nonce": "0",</w:t>
      </w:r>
    </w:p>
    <w:p>
      <w:pPr>
        <w:pStyle w:val="PreformattedText"/>
        <w:bidi w:val="0"/>
        <w:jc w:val="left"/>
        <w:rPr/>
      </w:pPr>
      <w:r>
        <w:rPr>
          <w:rStyle w:val="SourceText"/>
        </w:rPr>
        <w:t xml:space="preserve">             </w:t>
      </w:r>
      <w:r>
        <w:rPr>
          <w:rStyle w:val="SourceText"/>
        </w:rPr>
        <w:t>"feeRateBps": "200", "side": 0, "signatureType": 1 },</w:t>
      </w:r>
    </w:p>
    <w:p>
      <w:pPr>
        <w:pStyle w:val="PreformattedText"/>
        <w:bidi w:val="0"/>
        <w:jc w:val="left"/>
        <w:rPr/>
      </w:pPr>
      <w:r>
        <w:rPr>
          <w:rStyle w:val="SourceText"/>
        </w:rPr>
        <w:t xml:space="preserve">  </w:t>
      </w:r>
      <w:r>
        <w:rPr>
          <w:rStyle w:val="SourceText"/>
        </w:rPr>
        <w:t>"signature": "0x…",</w:t>
      </w:r>
    </w:p>
    <w:p>
      <w:pPr>
        <w:pStyle w:val="PreformattedText"/>
        <w:bidi w:val="0"/>
        <w:jc w:val="left"/>
        <w:rPr/>
      </w:pPr>
      <w:r>
        <w:rPr>
          <w:rStyle w:val="SourceText"/>
        </w:rPr>
        <w:t xml:space="preserve">  </w:t>
      </w:r>
      <w:r>
        <w:rPr>
          <w:rStyle w:val="SourceText"/>
        </w:rPr>
        <w:t>"orderHash": "0x…"</w:t>
      </w:r>
    </w:p>
    <w:p>
      <w:pPr>
        <w:pStyle w:val="PreformattedText"/>
        <w:bidi w:val="0"/>
        <w:spacing w:before="0" w:after="283"/>
        <w:jc w:val="left"/>
        <w:rPr/>
      </w:pPr>
      <w:r>
        <w:rPr>
          <w:rStyle w:val="SourceText"/>
        </w:rPr>
        <w:t>}</w:t>
      </w:r>
    </w:p>
    <w:p>
      <w:pPr>
        <w:pStyle w:val="BodyText"/>
        <w:bidi w:val="0"/>
        <w:jc w:val="left"/>
        <w:rPr/>
      </w:pPr>
      <w:r>
        <w:rPr/>
        <w:t xml:space="preserve">The operator forwards this to PlaeeOS. The </w:t>
      </w:r>
      <w:r>
        <w:rPr>
          <w:rStyle w:val="SourceText"/>
        </w:rPr>
        <w:t>dpmw</w:t>
      </w:r>
      <w:r>
        <w:rPr/>
        <w:t xml:space="preserve"> does not call </w:t>
      </w:r>
      <w:r>
        <w:rPr>
          <w:rStyle w:val="SourceText"/>
        </w:rPr>
        <w:t>clob-api</w:t>
      </w:r>
      <w:r>
        <w:rPr/>
        <w:t xml:space="preserve">. </w:t>
      </w:r>
      <w:r>
        <w:rPr>
          <w:rStyle w:val="SourceText"/>
        </w:rPr>
        <w:t>recipient</w:t>
      </w:r>
      <w:r>
        <w:rPr/>
        <w:t xml:space="preserve"> is </w:t>
      </w:r>
      <w:r>
        <w:rPr>
          <w:rStyle w:val="Strong"/>
        </w:rPr>
        <w:t>optional</w:t>
      </w:r>
      <w:r>
        <w:rPr/>
        <w:t xml:space="preserve">: omit it (or pass the zero address) to have the exchange pay the maker. If a </w:t>
      </w:r>
      <w:r>
        <w:rPr>
          <w:rStyle w:val="Strong"/>
        </w:rPr>
        <w:t>non-zero</w:t>
      </w:r>
      <w:r>
        <w:rPr/>
        <w:t xml:space="preserve"> </w:t>
      </w:r>
      <w:r>
        <w:rPr>
          <w:rStyle w:val="SourceText"/>
        </w:rPr>
        <w:t>recipient</w:t>
      </w:r>
      <w:r>
        <w:rPr/>
        <w:t xml:space="preserve"> is supplied and is neither the operational wallet nor a known customer wallet, the request is rejected with </w:t>
      </w:r>
      <w:r>
        <w:rPr>
          <w:rStyle w:val="SourceText"/>
        </w:rPr>
        <w:t>POLICY_VIOLATION</w:t>
      </w:r>
      <w:r>
        <w:rPr/>
        <w:t xml:space="preserve"> (see the recipient constraint in </w:t>
      </w:r>
      <w:hyperlink w:anchor="91-eip-712-order--field-order-and-domain">
        <w:r>
          <w:rPr>
            <w:rStyle w:val="Hyperlink"/>
          </w:rPr>
          <w:t>Section 9.1</w:t>
        </w:r>
      </w:hyperlink>
      <w:r>
        <w:rPr/>
        <w:t>).</w:t>
      </w:r>
    </w:p>
    <w:p>
      <w:pPr>
        <w:pStyle w:val="Heading3"/>
        <w:bidi w:val="0"/>
        <w:jc w:val="left"/>
        <w:rPr/>
      </w:pPr>
      <w:r>
        <w:rPr/>
        <w:t>10.5 Meta-transactions (return a submit-ready body)</w:t>
      </w:r>
    </w:p>
    <w:tbl>
      <w:tblPr>
        <w:tblW w:w="5000" w:type="pct"/>
        <w:jc w:val="left"/>
        <w:tblInd w:w="45" w:type="dxa"/>
        <w:tblLayout w:type="fixed"/>
        <w:tblCellMar>
          <w:top w:w="45" w:type="dxa"/>
          <w:left w:w="45" w:type="dxa"/>
          <w:bottom w:w="45" w:type="dxa"/>
          <w:right w:w="45" w:type="dxa"/>
        </w:tblCellMar>
      </w:tblPr>
      <w:tblGrid>
        <w:gridCol w:w="1600"/>
        <w:gridCol w:w="4642"/>
        <w:gridCol w:w="5096"/>
      </w:tblGrid>
      <w:tr>
        <w:trPr>
          <w:tblHeader w:val="true"/>
        </w:trPr>
        <w:tc>
          <w:tcPr>
            <w:tcW w:w="16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Method</w:t>
            </w:r>
          </w:p>
        </w:tc>
        <w:tc>
          <w:tcPr>
            <w:tcW w:w="46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Path</w:t>
            </w:r>
          </w:p>
        </w:tc>
        <w:tc>
          <w:tcPr>
            <w:tcW w:w="50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Backing SDK function</w:t>
            </w:r>
          </w:p>
        </w:tc>
      </w:tr>
      <w:tr>
        <w:trPr/>
        <w:tc>
          <w:tcPr>
            <w:tcW w:w="16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4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/v1/meta-tx/allowance</w:t>
            </w:r>
          </w:p>
        </w:tc>
        <w:tc>
          <w:tcPr>
            <w:tcW w:w="50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buildUsdcCtfAllowanceTx</w:t>
            </w:r>
          </w:p>
        </w:tc>
      </w:tr>
      <w:tr>
        <w:trPr/>
        <w:tc>
          <w:tcPr>
            <w:tcW w:w="16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4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/v1/meta-tx/redeem</w:t>
            </w:r>
          </w:p>
        </w:tc>
        <w:tc>
          <w:tcPr>
            <w:tcW w:w="50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buildRedeemPositionsTx</w:t>
            </w:r>
          </w:p>
        </w:tc>
      </w:tr>
      <w:tr>
        <w:trPr/>
        <w:tc>
          <w:tcPr>
            <w:tcW w:w="16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4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/v1/meta-tx/withdraw</w:t>
            </w:r>
          </w:p>
        </w:tc>
        <w:tc>
          <w:tcPr>
            <w:tcW w:w="50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buildFundWithdrawTx</w:t>
            </w:r>
          </w:p>
        </w:tc>
      </w:tr>
      <w:tr>
        <w:trPr/>
        <w:tc>
          <w:tcPr>
            <w:tcW w:w="16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464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/v1/meta-tx/split</w:t>
            </w:r>
          </w:p>
        </w:tc>
        <w:tc>
          <w:tcPr>
            <w:tcW w:w="50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buildSplitPositionTx</w:t>
            </w:r>
          </w:p>
        </w:tc>
      </w:tr>
      <w:tr>
        <w:trPr/>
        <w:tc>
          <w:tcPr>
            <w:tcW w:w="160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POST</w:t>
            </w:r>
          </w:p>
        </w:tc>
        <w:tc>
          <w:tcPr>
            <w:tcW w:w="464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/v1/meta-tx/merge</w:t>
            </w:r>
          </w:p>
        </w:tc>
        <w:tc>
          <w:tcPr>
            <w:tcW w:w="50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buildMergePositionsTx</w:t>
            </w:r>
          </w:p>
        </w:tc>
      </w:tr>
    </w:tbl>
    <w:p>
      <w:pPr>
        <w:pStyle w:val="BodyText"/>
        <w:bidi w:val="0"/>
        <w:jc w:val="left"/>
        <w:rPr/>
      </w:pPr>
      <w:r>
        <w:rPr/>
        <w:t>Common request shape:</w:t>
      </w:r>
    </w:p>
    <w:p>
      <w:pPr>
        <w:pStyle w:val="PreformattedText"/>
        <w:bidi w:val="0"/>
        <w:spacing w:before="0" w:after="283"/>
        <w:jc w:val="left"/>
        <w:rPr/>
      </w:pPr>
      <w:r>
        <w:rPr>
          <w:rStyle w:val="SourceText"/>
        </w:rPr>
        <w:t>{ "ref": "customer-12345", "conditionId": "0x…", "amountDecimal": "10.0", "recipient": "0x…" }</w:t>
      </w:r>
    </w:p>
    <w:p>
      <w:pPr>
        <w:pStyle w:val="BodyText"/>
        <w:bidi w:val="0"/>
        <w:jc w:val="left"/>
        <w:rPr/>
      </w:pPr>
      <w:r>
        <w:rPr/>
        <w:t>(</w:t>
      </w:r>
      <w:r>
        <w:rPr>
          <w:rStyle w:val="SourceText"/>
        </w:rPr>
        <w:t>conditionId</w:t>
      </w:r>
      <w:r>
        <w:rPr/>
        <w:t xml:space="preserve"> for redeem/split/merge; </w:t>
      </w:r>
      <w:r>
        <w:rPr>
          <w:rStyle w:val="SourceText"/>
        </w:rPr>
        <w:t>recipient</w:t>
      </w:r>
      <w:r>
        <w:rPr/>
        <w:t xml:space="preserve"> + </w:t>
      </w:r>
      <w:r>
        <w:rPr>
          <w:rStyle w:val="SourceText"/>
        </w:rPr>
        <w:t>amountDecimal</w:t>
      </w:r>
      <w:r>
        <w:rPr/>
        <w:t xml:space="preserve"> for withdraw; allowance needs only </w:t>
      </w:r>
      <w:r>
        <w:rPr>
          <w:rStyle w:val="SourceText"/>
        </w:rPr>
        <w:t>ref</w:t>
      </w:r>
      <w:r>
        <w:rPr/>
        <w:t xml:space="preserve">.) Every response is a complete </w:t>
      </w:r>
      <w:r>
        <w:rPr>
          <w:rStyle w:val="SourceText"/>
        </w:rPr>
        <w:t>SubmitTransactionRequest</w:t>
      </w:r>
      <w:r>
        <w:rPr/>
        <w:t xml:space="preserve"> (see </w:t>
      </w:r>
      <w:hyperlink w:anchor="94-meta-transaction--worked-example-allo">
        <w:r>
          <w:rPr>
            <w:rStyle w:val="Hyperlink"/>
          </w:rPr>
          <w:t>Section 9.4</w:t>
        </w:r>
      </w:hyperlink>
      <w:r>
        <w:rPr/>
        <w:t xml:space="preserve">). Each of these endpoints requires the customer EOA to be DPM-registered; otherwise </w:t>
      </w:r>
      <w:r>
        <w:rPr>
          <w:rStyle w:val="SourceText"/>
        </w:rPr>
        <w:t>CUSTOMER_NOT_REGISTERED</w:t>
      </w:r>
      <w:r>
        <w:rPr/>
        <w:t>.</w:t>
      </w:r>
    </w:p>
    <w:p>
      <w:pPr>
        <w:pStyle w:val="Heading3"/>
        <w:bidi w:val="0"/>
        <w:jc w:val="left"/>
        <w:rPr/>
      </w:pPr>
      <w:r>
        <w:rPr/>
        <w:t>10.6 Treasury</w:t>
      </w:r>
    </w:p>
    <w:tbl>
      <w:tblPr>
        <w:tblW w:w="5000" w:type="pct"/>
        <w:jc w:val="left"/>
        <w:tblInd w:w="45" w:type="dxa"/>
        <w:tblLayout w:type="fixed"/>
        <w:tblCellMar>
          <w:top w:w="45" w:type="dxa"/>
          <w:left w:w="45" w:type="dxa"/>
          <w:bottom w:w="45" w:type="dxa"/>
          <w:right w:w="45" w:type="dxa"/>
        </w:tblCellMar>
      </w:tblPr>
      <w:tblGrid>
        <w:gridCol w:w="1009"/>
        <w:gridCol w:w="4125"/>
        <w:gridCol w:w="6204"/>
      </w:tblGrid>
      <w:tr>
        <w:trPr>
          <w:tblHeader w:val="true"/>
        </w:trPr>
        <w:tc>
          <w:tcPr>
            <w:tcW w:w="100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Method</w:t>
            </w:r>
          </w:p>
        </w:tc>
        <w:tc>
          <w:tcPr>
            <w:tcW w:w="412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Path</w:t>
            </w:r>
          </w:p>
        </w:tc>
        <w:tc>
          <w:tcPr>
            <w:tcW w:w="62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Purpose</w:t>
            </w:r>
          </w:p>
        </w:tc>
      </w:tr>
      <w:tr>
        <w:trPr/>
        <w:tc>
          <w:tcPr>
            <w:tcW w:w="1009"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POST</w:t>
            </w:r>
          </w:p>
        </w:tc>
        <w:tc>
          <w:tcPr>
            <w:tcW w:w="412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/v1/treasury/rebalance</w:t>
            </w:r>
          </w:p>
        </w:tc>
        <w:tc>
          <w:tcPr>
            <w:tcW w:w="620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Sign a master↔operational transfer; return signed tx hex.</w:t>
            </w:r>
          </w:p>
        </w:tc>
      </w:tr>
      <w:tr>
        <w:trPr/>
        <w:tc>
          <w:tcPr>
            <w:tcW w:w="1009"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POST</w:t>
            </w:r>
          </w:p>
        </w:tc>
        <w:tc>
          <w:tcPr>
            <w:tcW w:w="412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/v1/treasury/external-withdraw</w:t>
            </w:r>
          </w:p>
        </w:tc>
        <w:tc>
          <w:tcPr>
            <w:tcW w:w="620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Sign a master→external transfer; dual-control gated.</w:t>
            </w:r>
          </w:p>
        </w:tc>
      </w:tr>
    </w:tbl>
    <w:p>
      <w:pPr>
        <w:pStyle w:val="BodyText"/>
        <w:bidi w:val="0"/>
        <w:jc w:val="left"/>
        <w:rPr/>
      </w:pPr>
      <w:r>
        <w:rPr/>
        <w:t xml:space="preserve">When the master is externally custodied (§6.6), the master-signed leg of either endpoint returns </w:t>
      </w:r>
      <w:r>
        <w:rPr>
          <w:rStyle w:val="SourceText"/>
        </w:rPr>
        <w:t>MASTER_NOT_SIGNABLE</w:t>
      </w:r>
      <w:r>
        <w:rPr/>
        <w:t>; the operator performs it through their custodian. Operational-wallet legs (e.g. operational → master sweeps) remain signable.</w:t>
      </w:r>
    </w:p>
    <w:p>
      <w:pPr>
        <w:pStyle w:val="Heading3"/>
        <w:bidi w:val="0"/>
        <w:jc w:val="left"/>
        <w:rPr/>
      </w:pPr>
      <w:r>
        <w:rPr/>
        <w:t>10.7 Audit</w:t>
      </w:r>
    </w:p>
    <w:tbl>
      <w:tblPr>
        <w:tblW w:w="5000" w:type="pct"/>
        <w:jc w:val="left"/>
        <w:tblInd w:w="45" w:type="dxa"/>
        <w:tblLayout w:type="fixed"/>
        <w:tblCellMar>
          <w:top w:w="45" w:type="dxa"/>
          <w:left w:w="45" w:type="dxa"/>
          <w:bottom w:w="45" w:type="dxa"/>
          <w:right w:w="45" w:type="dxa"/>
        </w:tblCellMar>
      </w:tblPr>
      <w:tblGrid>
        <w:gridCol w:w="1361"/>
        <w:gridCol w:w="1797"/>
        <w:gridCol w:w="8180"/>
      </w:tblGrid>
      <w:tr>
        <w:trPr>
          <w:tblHeader w:val="true"/>
        </w:trPr>
        <w:tc>
          <w:tcPr>
            <w:tcW w:w="136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Method</w:t>
            </w:r>
          </w:p>
        </w:tc>
        <w:tc>
          <w:tcPr>
            <w:tcW w:w="17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Path</w:t>
            </w:r>
          </w:p>
        </w:tc>
        <w:tc>
          <w:tcPr>
            <w:tcW w:w="81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Purpose</w:t>
            </w:r>
          </w:p>
        </w:tc>
      </w:tr>
      <w:tr>
        <w:trPr/>
        <w:tc>
          <w:tcPr>
            <w:tcW w:w="136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GET</w:t>
            </w:r>
          </w:p>
        </w:tc>
        <w:tc>
          <w:tcPr>
            <w:tcW w:w="179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/v1/audit</w:t>
            </w:r>
          </w:p>
        </w:tc>
        <w:tc>
          <w:tcPr>
            <w:tcW w:w="818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Query the audit trail (paginated, filter by ref/action/time).</w:t>
            </w:r>
          </w:p>
        </w:tc>
      </w:tr>
    </w:tbl>
    <w:p>
      <w:pPr>
        <w:pStyle w:val="Heading3"/>
        <w:bidi w:val="0"/>
        <w:jc w:val="left"/>
        <w:rPr/>
      </w:pPr>
      <w:r>
        <w:rPr/>
        <w:t>10.8 Idempotency</w:t>
      </w:r>
    </w:p>
    <w:p>
      <w:pPr>
        <w:pStyle w:val="BodyText"/>
        <w:bidi w:val="0"/>
        <w:jc w:val="left"/>
        <w:rPr/>
      </w:pPr>
      <w:r>
        <w:rPr/>
        <w:t xml:space="preserve">All </w:t>
      </w:r>
      <w:r>
        <w:rPr>
          <w:rStyle w:val="SourceText"/>
        </w:rPr>
        <w:t>POST</w:t>
      </w:r>
      <w:r>
        <w:rPr/>
        <w:t xml:space="preserve"> signing and address-creation endpoints accept an </w:t>
      </w:r>
      <w:r>
        <w:rPr>
          <w:rStyle w:val="SourceText"/>
        </w:rPr>
        <w:t>Idempotency-Key</w:t>
      </w:r>
      <w:r>
        <w:rPr/>
        <w:t xml:space="preserve"> header. The </w:t>
      </w:r>
      <w:r>
        <w:rPr>
          <w:rStyle w:val="SourceText"/>
        </w:rPr>
        <w:t>dpmw</w:t>
      </w:r>
      <w:r>
        <w:rPr/>
        <w:t xml:space="preserve"> stores the key with a hash of the request body and the response; a replay with the same key and body returns the stored response, and the same key with a different body returns </w:t>
      </w:r>
      <w:r>
        <w:rPr>
          <w:rStyle w:val="SourceText"/>
        </w:rPr>
        <w:t>IDEMPOTENCY_CONFLICT</w:t>
      </w:r>
      <w:r>
        <w:rPr/>
        <w:t>. Address creation is additionally idempotent by derivation index.</w:t>
      </w:r>
    </w:p>
    <w:p>
      <w:pPr>
        <w:pStyle w:val="HorizontalLine"/>
        <w:bidi w:val="0"/>
        <w:jc w:val="left"/>
        <w:rPr/>
      </w:pPr>
      <w:r>
        <w:rPr/>
      </w:r>
    </w:p>
    <w:p>
      <w:pPr>
        <w:pStyle w:val="Heading2"/>
        <w:bidi w:val="0"/>
        <w:jc w:val="left"/>
        <w:rPr/>
      </w:pPr>
      <w:r>
        <w:rPr/>
        <w:t>11. Onboarding sequence</w:t>
      </w:r>
    </w:p>
    <w:p>
      <w:pPr>
        <w:pStyle w:val="BodyText"/>
        <w:bidi w:val="0"/>
        <w:jc w:val="left"/>
        <w:rPr/>
      </w:pPr>
      <w:r>
        <w:rPr/>
        <w:t xml:space="preserve">Address creation and DPM registration have a strict order, because </w:t>
      </w:r>
      <w:r>
        <w:rPr>
          <w:rStyle w:val="SourceText"/>
        </w:rPr>
        <w:t>GET /relay-payload</w:t>
      </w:r>
      <w:r>
        <w:rPr/>
        <w:t xml:space="preserve"> resolves the nonce from the DPM </w:t>
      </w:r>
      <w:r>
        <w:rPr>
          <w:rStyle w:val="SourceText"/>
        </w:rPr>
        <w:t>users</w:t>
      </w:r>
      <w:r>
        <w:rPr/>
        <w:t xml:space="preserve"> table. A customer EOA that Plaee has never seen cannot yield a relay payload, so no meta-transaction can be signed for it until registration completes.</w:t>
      </w:r>
    </w:p>
    <w:p>
      <w:pPr>
        <w:pStyle w:val="BodyText"/>
        <w:bidi w:val="0"/>
        <w:jc w:val="left"/>
        <w:rPr/>
      </w:pPr>
      <w:r>
        <w:rPr/>
        <w:drawing>
          <wp:inline distT="0" distB="0" distL="0" distR="0">
            <wp:extent cx="6096000" cy="3886200"/>
            <wp:effectExtent l="0" t="0" r="0" b="0"/>
            <wp:docPr id="4" name="Image4" descr="Onboarding sequence: address creation precedes DPM registration before any meta-transaction can be 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Onboarding sequence: address creation precedes DPM registration before any meta-transaction can be signed"/>
                    <pic:cNvPicPr>
                      <a:picLocks noChangeAspect="1" noChangeArrowheads="1"/>
                    </pic:cNvPicPr>
                  </pic:nvPicPr>
                  <pic:blipFill>
                    <a:blip r:embed="rId5"/>
                    <a:stretch>
                      <a:fillRect/>
                    </a:stretch>
                  </pic:blipFill>
                  <pic:spPr bwMode="auto">
                    <a:xfrm>
                      <a:off x="0" y="0"/>
                      <a:ext cx="6096000" cy="3886200"/>
                    </a:xfrm>
                    <a:prstGeom prst="rect">
                      <a:avLst/>
                    </a:prstGeom>
                    <a:noFill/>
                  </pic:spPr>
                </pic:pic>
              </a:graphicData>
            </a:graphic>
          </wp:inline>
        </w:drawing>
      </w:r>
    </w:p>
    <w:p>
      <w:pPr>
        <w:pStyle w:val="BodyText"/>
        <w:bidi w:val="0"/>
        <w:jc w:val="left"/>
        <w:rPr/>
      </w:pPr>
      <w:r>
        <w:rPr/>
        <w:t xml:space="preserve">This is a hard precondition on every meta-transaction endpoint, surfaced as the distinct </w:t>
      </w:r>
      <w:r>
        <w:rPr>
          <w:rStyle w:val="SourceText"/>
        </w:rPr>
        <w:t>CUSTOMER_NOT_REGISTERED</w:t>
      </w:r>
      <w:r>
        <w:rPr/>
        <w:t xml:space="preserve"> error so the operator can tell "not yet registered with Plaee" apart from a genuine signing failure.</w:t>
      </w:r>
    </w:p>
    <w:p>
      <w:pPr>
        <w:pStyle w:val="HorizontalLine"/>
        <w:bidi w:val="0"/>
        <w:jc w:val="left"/>
        <w:rPr/>
      </w:pPr>
      <w:r>
        <w:rPr/>
      </w:r>
    </w:p>
    <w:p>
      <w:pPr>
        <w:pStyle w:val="Heading2"/>
        <w:bidi w:val="0"/>
        <w:jc w:val="left"/>
        <w:rPr/>
      </w:pPr>
      <w:r>
        <w:rPr/>
        <w:t>12. Security</w:t>
      </w:r>
    </w:p>
    <w:p>
      <w:pPr>
        <w:pStyle w:val="Heading3"/>
        <w:bidi w:val="0"/>
        <w:jc w:val="left"/>
        <w:rPr/>
      </w:pPr>
      <w:r>
        <w:rPr/>
        <w:t>12.1 Inbound authentication</w:t>
      </w:r>
    </w:p>
    <w:p>
      <w:pPr>
        <w:pStyle w:val="BodyText"/>
        <w:numPr>
          <w:ilvl w:val="0"/>
          <w:numId w:val="12"/>
        </w:numPr>
        <w:tabs>
          <w:tab w:val="clear" w:pos="1134"/>
          <w:tab w:val="left" w:pos="709" w:leader="none"/>
        </w:tabs>
        <w:bidi w:val="0"/>
        <w:ind w:hanging="283" w:left="709"/>
        <w:jc w:val="left"/>
        <w:rPr/>
      </w:pPr>
      <w:r>
        <w:rPr/>
        <w:t xml:space="preserve">Every </w:t>
      </w:r>
      <w:r>
        <w:rPr>
          <w:rStyle w:val="SourceText"/>
        </w:rPr>
        <w:t>/v1</w:t>
      </w:r>
      <w:r>
        <w:rPr/>
        <w:t xml:space="preserve"> route except </w:t>
      </w:r>
      <w:r>
        <w:rPr>
          <w:rStyle w:val="SourceText"/>
        </w:rPr>
        <w:t>/v1/health</w:t>
      </w:r>
      <w:r>
        <w:rPr/>
        <w:t xml:space="preserve"> requires </w:t>
      </w:r>
      <w:r>
        <w:rPr>
          <w:rStyle w:val="SourceText"/>
        </w:rPr>
        <w:t>X-API-Key</w:t>
      </w:r>
      <w:r>
        <w:rPr/>
        <w:t xml:space="preserve">, compared in constant time against </w:t>
      </w:r>
      <w:r>
        <w:rPr>
          <w:rStyle w:val="SourceText"/>
        </w:rPr>
        <w:t>DPMW_API_KEY</w:t>
      </w:r>
      <w:r>
        <w:rPr/>
        <w:t xml:space="preserve">. This is the operator back-office authentication called for in the product requirements. </w:t>
      </w:r>
    </w:p>
    <w:p>
      <w:pPr>
        <w:pStyle w:val="Heading3"/>
        <w:bidi w:val="0"/>
        <w:jc w:val="left"/>
        <w:rPr/>
      </w:pPr>
      <w:r>
        <w:rPr/>
        <w:t>12.2 Outbound credential handling</w:t>
      </w:r>
    </w:p>
    <w:p>
      <w:pPr>
        <w:pStyle w:val="BodyText"/>
        <w:numPr>
          <w:ilvl w:val="0"/>
          <w:numId w:val="13"/>
        </w:numPr>
        <w:tabs>
          <w:tab w:val="clear" w:pos="1134"/>
          <w:tab w:val="left" w:pos="709" w:leader="none"/>
        </w:tabs>
        <w:bidi w:val="0"/>
        <w:spacing w:before="0" w:after="0"/>
        <w:ind w:hanging="283" w:left="709"/>
        <w:jc w:val="left"/>
        <w:rPr/>
      </w:pPr>
      <w:r>
        <w:rPr/>
        <w:t xml:space="preserve">The </w:t>
      </w:r>
      <w:r>
        <w:rPr>
          <w:rStyle w:val="SourceText"/>
        </w:rPr>
        <w:t>X-API-Key</w:t>
      </w:r>
      <w:r>
        <w:rPr/>
        <w:t xml:space="preserve"> for </w:t>
      </w:r>
      <w:r>
        <w:rPr>
          <w:rStyle w:val="SourceText"/>
        </w:rPr>
        <w:t>relayer-api</w:t>
      </w:r>
      <w:r>
        <w:rPr/>
        <w:t xml:space="preserve"> (</w:t>
      </w:r>
      <w:r>
        <w:rPr>
          <w:rStyle w:val="SourceText"/>
        </w:rPr>
        <w:t>RELAYER_API_KEY</w:t>
      </w:r>
      <w:r>
        <w:rPr/>
        <w:t xml:space="preserve">) and the Turnkey credentials are read from env and never logged. </w:t>
      </w:r>
    </w:p>
    <w:p>
      <w:pPr>
        <w:pStyle w:val="BodyText"/>
        <w:numPr>
          <w:ilvl w:val="0"/>
          <w:numId w:val="13"/>
        </w:numPr>
        <w:tabs>
          <w:tab w:val="clear" w:pos="1134"/>
          <w:tab w:val="left" w:pos="709" w:leader="none"/>
        </w:tabs>
        <w:bidi w:val="0"/>
        <w:ind w:hanging="283" w:left="709"/>
        <w:jc w:val="left"/>
        <w:rPr/>
      </w:pPr>
      <w:r>
        <w:rPr/>
        <w:t xml:space="preserve">The mnemonic keystore passphrase is read from env at boot; the decrypted mnemonic is held only transiently during signing. </w:t>
      </w:r>
    </w:p>
    <w:p>
      <w:pPr>
        <w:pStyle w:val="Heading3"/>
        <w:bidi w:val="0"/>
        <w:jc w:val="left"/>
        <w:rPr/>
      </w:pPr>
      <w:r>
        <w:rPr/>
        <w:t>12.3 Treasury policy engine</w:t>
      </w:r>
    </w:p>
    <w:p>
      <w:pPr>
        <w:pStyle w:val="BodyText"/>
        <w:bidi w:val="0"/>
        <w:jc w:val="left"/>
        <w:rPr/>
      </w:pPr>
      <w:r>
        <w:rPr/>
        <w:t>A policy layer enforces the product's wallet constraints before any signature is produced:</w:t>
      </w:r>
    </w:p>
    <w:p>
      <w:pPr>
        <w:pStyle w:val="BodyText"/>
        <w:numPr>
          <w:ilvl w:val="0"/>
          <w:numId w:val="14"/>
        </w:numPr>
        <w:tabs>
          <w:tab w:val="clear" w:pos="1134"/>
          <w:tab w:val="left" w:pos="709" w:leader="none"/>
        </w:tabs>
        <w:bidi w:val="0"/>
        <w:spacing w:before="0" w:after="0"/>
        <w:ind w:hanging="283" w:left="709"/>
        <w:jc w:val="left"/>
        <w:rPr/>
      </w:pPr>
      <w:r>
        <w:rPr>
          <w:rStyle w:val="Strong"/>
        </w:rPr>
        <w:t>Order recipient</w:t>
      </w:r>
      <w:r>
        <w:rPr/>
        <w:t xml:space="preserve"> must be the </w:t>
      </w:r>
      <w:r>
        <w:rPr>
          <w:rStyle w:val="Strong"/>
        </w:rPr>
        <w:t>operational wallet</w:t>
      </w:r>
      <w:r>
        <w:rPr/>
        <w:t xml:space="preserve"> or a </w:t>
      </w:r>
      <w:r>
        <w:rPr>
          <w:rStyle w:val="Strong"/>
        </w:rPr>
        <w:t>known customer wallet</w:t>
      </w:r>
      <w:r>
        <w:rPr/>
        <w:t xml:space="preserve"> (or the zero address, meaning the maker). Arbitrary recipients are rejected. </w:t>
      </w:r>
    </w:p>
    <w:p>
      <w:pPr>
        <w:pStyle w:val="BodyText"/>
        <w:numPr>
          <w:ilvl w:val="0"/>
          <w:numId w:val="14"/>
        </w:numPr>
        <w:tabs>
          <w:tab w:val="clear" w:pos="1134"/>
          <w:tab w:val="left" w:pos="709" w:leader="none"/>
        </w:tabs>
        <w:bidi w:val="0"/>
        <w:spacing w:before="0" w:after="0"/>
        <w:ind w:hanging="283" w:left="709"/>
        <w:jc w:val="left"/>
        <w:rPr/>
      </w:pPr>
      <w:r>
        <w:rPr>
          <w:rStyle w:val="Strong"/>
        </w:rPr>
        <w:t>Customer proxy</w:t>
      </w:r>
      <w:r>
        <w:rPr/>
        <w:t xml:space="preserve"> funds may only move to the </w:t>
      </w:r>
      <w:r>
        <w:rPr>
          <w:rStyle w:val="Strong"/>
        </w:rPr>
        <w:t>operational wallet</w:t>
      </w:r>
      <w:r>
        <w:rPr/>
        <w:t xml:space="preserve"> (redeem/withdraw destinations are checked against the configured operational address). </w:t>
      </w:r>
    </w:p>
    <w:p>
      <w:pPr>
        <w:pStyle w:val="BodyText"/>
        <w:numPr>
          <w:ilvl w:val="0"/>
          <w:numId w:val="14"/>
        </w:numPr>
        <w:tabs>
          <w:tab w:val="clear" w:pos="1134"/>
          <w:tab w:val="left" w:pos="709" w:leader="none"/>
        </w:tabs>
        <w:bidi w:val="0"/>
        <w:spacing w:before="0" w:after="0"/>
        <w:ind w:hanging="283" w:left="709"/>
        <w:jc w:val="left"/>
        <w:rPr/>
      </w:pPr>
      <w:r>
        <w:rPr/>
        <w:t xml:space="preserve">The </w:t>
      </w:r>
      <w:r>
        <w:rPr>
          <w:rStyle w:val="Strong"/>
        </w:rPr>
        <w:t>operational wallet</w:t>
      </w:r>
      <w:r>
        <w:rPr/>
        <w:t xml:space="preserve"> may rebalance with the </w:t>
      </w:r>
      <w:r>
        <w:rPr>
          <w:rStyle w:val="Strong"/>
        </w:rPr>
        <w:t>master</w:t>
      </w:r>
      <w:r>
        <w:rPr/>
        <w:t xml:space="preserve"> but may not pay </w:t>
      </w:r>
      <w:r>
        <w:rPr>
          <w:rStyle w:val="Strong"/>
        </w:rPr>
        <w:t>external</w:t>
      </w:r>
      <w:r>
        <w:rPr/>
        <w:t xml:space="preserve"> addresses. </w:t>
      </w:r>
    </w:p>
    <w:p>
      <w:pPr>
        <w:pStyle w:val="BodyText"/>
        <w:numPr>
          <w:ilvl w:val="0"/>
          <w:numId w:val="14"/>
        </w:numPr>
        <w:tabs>
          <w:tab w:val="clear" w:pos="1134"/>
          <w:tab w:val="left" w:pos="709" w:leader="none"/>
        </w:tabs>
        <w:bidi w:val="0"/>
        <w:ind w:hanging="283" w:left="709"/>
        <w:jc w:val="left"/>
        <w:rPr/>
      </w:pPr>
      <w:r>
        <w:rPr>
          <w:rStyle w:val="Strong"/>
        </w:rPr>
        <w:t>Master → external</w:t>
      </w:r>
      <w:r>
        <w:rPr/>
        <w:t xml:space="preserve"> is allowed but only via </w:t>
      </w:r>
      <w:r>
        <w:rPr>
          <w:rStyle w:val="SourceText"/>
        </w:rPr>
        <w:t>/v1/treasury/external-withdraw</w:t>
      </w:r>
      <w:r>
        <w:rPr/>
        <w:t xml:space="preserve">, never through a proxy/relayer path. </w:t>
      </w:r>
    </w:p>
    <w:p>
      <w:pPr>
        <w:pStyle w:val="BodyText"/>
        <w:bidi w:val="0"/>
        <w:jc w:val="left"/>
        <w:rPr/>
      </w:pPr>
      <w:r>
        <w:rPr/>
        <w:t xml:space="preserve">Destinations are checked against an </w:t>
      </w:r>
      <w:r>
        <w:rPr>
          <w:rStyle w:val="Strong"/>
        </w:rPr>
        <w:t>allowlist</w:t>
      </w:r>
      <w:r>
        <w:rPr/>
        <w:t xml:space="preserve"> derived from the vault's own addresses plus a configured external-withdrawal allowlist. A disallowed destination returns </w:t>
      </w:r>
      <w:r>
        <w:rPr>
          <w:rStyle w:val="SourceText"/>
        </w:rPr>
        <w:t>POLICY_VIOLATION</w:t>
      </w:r>
      <w:r>
        <w:rPr/>
        <w:t>.</w:t>
      </w:r>
    </w:p>
    <w:p>
      <w:pPr>
        <w:pStyle w:val="Heading3"/>
        <w:bidi w:val="0"/>
        <w:jc w:val="left"/>
        <w:rPr/>
      </w:pPr>
      <w:r>
        <w:rPr/>
        <w:t>12.4 Dual control for external withdrawals</w:t>
      </w:r>
    </w:p>
    <w:p>
      <w:pPr>
        <w:pStyle w:val="BodyText"/>
        <w:bidi w:val="0"/>
        <w:jc w:val="left"/>
        <w:rPr/>
      </w:pPr>
      <w:r>
        <w:rPr>
          <w:rStyle w:val="SourceText"/>
        </w:rPr>
        <w:t>POST /v1/treasury/external-withdraw</w:t>
      </w:r>
      <w:r>
        <w:rPr/>
        <w:t xml:space="preserve"> requires two distinct approver tokens (</w:t>
      </w:r>
      <w:r>
        <w:rPr>
          <w:rStyle w:val="SourceText"/>
        </w:rPr>
        <w:t>DPMW_APPROVER_KEYS</w:t>
      </w:r>
      <w:r>
        <w:rPr/>
        <w:t>, a set) presented in the request. A single key is insufficient. This is deliberately simple in v1 (shared approver keys); a later phase can move to per-approver signatures.</w:t>
      </w:r>
    </w:p>
    <w:p>
      <w:pPr>
        <w:pStyle w:val="Heading3"/>
        <w:bidi w:val="0"/>
        <w:jc w:val="left"/>
        <w:rPr/>
      </w:pPr>
      <w:r>
        <w:rPr/>
        <w:t>12.5 Log redaction</w:t>
      </w:r>
    </w:p>
    <w:p>
      <w:pPr>
        <w:pStyle w:val="BodyText"/>
        <w:bidi w:val="0"/>
        <w:jc w:val="left"/>
        <w:rPr/>
      </w:pPr>
      <w:r>
        <w:rPr/>
        <w:t>Structured logs (one JSON object per line, matching the prediction-gateway convention) redact: mnemonics, private keys, passphrases, API keys, HMAC secrets, and full signatures (logged as a truncated prefix). Addresses, indices, refs, and non-secret request metadata are logged in full for support.</w:t>
      </w:r>
    </w:p>
    <w:p>
      <w:pPr>
        <w:pStyle w:val="HorizontalLine"/>
        <w:bidi w:val="0"/>
        <w:jc w:val="left"/>
        <w:rPr/>
      </w:pPr>
      <w:r>
        <w:rPr/>
      </w:r>
    </w:p>
    <w:p>
      <w:pPr>
        <w:pStyle w:val="Heading2"/>
        <w:bidi w:val="0"/>
        <w:jc w:val="left"/>
        <w:rPr/>
      </w:pPr>
      <w:r>
        <w:rPr/>
        <w:t>13. Phase-2 stub interfaces</w:t>
      </w:r>
    </w:p>
    <w:p>
      <w:pPr>
        <w:pStyle w:val="BodyText"/>
        <w:bidi w:val="0"/>
        <w:jc w:val="left"/>
        <w:rPr/>
      </w:pPr>
      <w:r>
        <w:rPr/>
        <w:t>These are defined now so later work does not force a redesign. v1 ships the interfaces with no-op or "not implemented" adapters.</w:t>
      </w:r>
    </w:p>
    <w:p>
      <w:pPr>
        <w:pStyle w:val="BodyText"/>
        <w:bidi w:val="0"/>
        <w:jc w:val="left"/>
        <w:rPr/>
      </w:pPr>
      <w:r>
        <w:rPr/>
        <w:t xml:space="preserve">Only </w:t>
      </w:r>
      <w:r>
        <w:rPr>
          <w:rStyle w:val="Strong"/>
        </w:rPr>
        <w:t>on-chain deposit/withdrawal monitoring</w:t>
      </w:r>
      <w:r>
        <w:rPr/>
        <w:t xml:space="preserve"> is a </w:t>
      </w:r>
      <w:r>
        <w:rPr>
          <w:rStyle w:val="SourceText"/>
        </w:rPr>
        <w:t>dpmw</w:t>
      </w:r>
      <w:r>
        <w:rPr/>
        <w:t xml:space="preserve"> responsibility, because it watches the </w:t>
      </w:r>
      <w:r>
        <w:rPr>
          <w:rStyle w:val="SourceText"/>
        </w:rPr>
        <w:t>dpmw</w:t>
      </w:r>
      <w:r>
        <w:rPr/>
        <w:t xml:space="preserve">'s own wallet addresses on-chain and needs no data from Plaee. The per-customer trading ledger and the order/trade/position event stream are </w:t>
      </w:r>
      <w:r>
        <w:rPr>
          <w:rStyle w:val="Strong"/>
        </w:rPr>
        <w:t>not</w:t>
      </w:r>
      <w:r>
        <w:rPr/>
        <w:t xml:space="preserve"> </w:t>
      </w:r>
      <w:r>
        <w:rPr>
          <w:rStyle w:val="SourceText"/>
        </w:rPr>
        <w:t>dpmw</w:t>
      </w:r>
      <w:r>
        <w:rPr/>
        <w:t xml:space="preserve"> concerns — see the note in </w:t>
      </w:r>
      <w:hyperlink w:anchor="4-roles-and-responsibilities">
        <w:r>
          <w:rPr>
            <w:rStyle w:val="Hyperlink"/>
          </w:rPr>
          <w:t>Section 4</w:t>
        </w:r>
      </w:hyperlink>
      <w:r>
        <w:rPr/>
        <w:t>.</w:t>
      </w:r>
    </w:p>
    <w:p>
      <w:pPr>
        <w:pStyle w:val="PreformattedText"/>
        <w:bidi w:val="0"/>
        <w:jc w:val="left"/>
        <w:rPr/>
      </w:pPr>
      <w:r>
        <w:rPr>
          <w:rStyle w:val="SourceText"/>
        </w:rPr>
        <w:t>/** On-chain deposit/withdrawal monitoring (Polygon). */</w:t>
      </w:r>
    </w:p>
    <w:p>
      <w:pPr>
        <w:pStyle w:val="PreformattedText"/>
        <w:bidi w:val="0"/>
        <w:jc w:val="left"/>
        <w:rPr/>
      </w:pPr>
      <w:r>
        <w:rPr>
          <w:rStyle w:val="SourceText"/>
        </w:rPr>
        <w:t>export interface ChainMonitor {</w:t>
      </w:r>
    </w:p>
    <w:p>
      <w:pPr>
        <w:pStyle w:val="PreformattedText"/>
        <w:bidi w:val="0"/>
        <w:jc w:val="left"/>
        <w:rPr/>
      </w:pPr>
      <w:r>
        <w:rPr>
          <w:rStyle w:val="SourceText"/>
        </w:rPr>
        <w:t xml:space="preserve">  </w:t>
      </w:r>
      <w:r>
        <w:rPr>
          <w:rStyle w:val="SourceText"/>
        </w:rPr>
        <w:t>start(): Promise&lt;void&gt;;</w:t>
      </w:r>
    </w:p>
    <w:p>
      <w:pPr>
        <w:pStyle w:val="PreformattedText"/>
        <w:bidi w:val="0"/>
        <w:jc w:val="left"/>
        <w:rPr/>
      </w:pPr>
      <w:r>
        <w:rPr>
          <w:rStyle w:val="SourceText"/>
        </w:rPr>
        <w:t xml:space="preserve">  </w:t>
      </w:r>
      <w:r>
        <w:rPr>
          <w:rStyle w:val="SourceText"/>
        </w:rPr>
        <w:t>onSettledDeposit(handler: (e: DepositEvent) =&gt; void): void;</w:t>
      </w:r>
    </w:p>
    <w:p>
      <w:pPr>
        <w:pStyle w:val="PreformattedText"/>
        <w:bidi w:val="0"/>
        <w:jc w:val="left"/>
        <w:rPr/>
      </w:pPr>
      <w:r>
        <w:rPr>
          <w:rStyle w:val="SourceText"/>
        </w:rPr>
        <w:t xml:space="preserve">  </w:t>
      </w:r>
      <w:r>
        <w:rPr>
          <w:rStyle w:val="SourceText"/>
        </w:rPr>
        <w:t>onSettledWithdrawal(handler: (e: WithdrawalEvent) =&gt; void): void;</w:t>
      </w:r>
    </w:p>
    <w:p>
      <w:pPr>
        <w:pStyle w:val="PreformattedText"/>
        <w:bidi w:val="0"/>
        <w:spacing w:before="0" w:after="283"/>
        <w:jc w:val="left"/>
        <w:rPr/>
      </w:pPr>
      <w:r>
        <w:rPr>
          <w:rStyle w:val="SourceText"/>
        </w:rPr>
        <w:t>}</w:t>
      </w:r>
    </w:p>
    <w:p>
      <w:pPr>
        <w:pStyle w:val="HorizontalLine"/>
        <w:bidi w:val="0"/>
        <w:jc w:val="left"/>
        <w:rPr/>
      </w:pPr>
      <w:r>
        <w:rPr/>
      </w:r>
    </w:p>
    <w:p>
      <w:pPr>
        <w:pStyle w:val="Heading2"/>
        <w:bidi w:val="0"/>
        <w:jc w:val="left"/>
        <w:rPr/>
      </w:pPr>
      <w:r>
        <w:rPr/>
        <w:t>14. Data model (SQLite)</w:t>
      </w:r>
    </w:p>
    <w:p>
      <w:pPr>
        <w:pStyle w:val="BodyText"/>
        <w:bidi w:val="0"/>
        <w:jc w:val="left"/>
        <w:rPr/>
      </w:pPr>
      <w:r>
        <w:rPr/>
        <w:t xml:space="preserve">Embedded SQLite via </w:t>
      </w:r>
      <w:r>
        <w:rPr>
          <w:rStyle w:val="Strong"/>
        </w:rPr>
        <w:t>Drizzle ORM</w:t>
      </w:r>
      <w:r>
        <w:rPr/>
        <w:t xml:space="preserve"> with </w:t>
      </w:r>
      <w:r>
        <w:rPr>
          <w:rStyle w:val="SourceText"/>
        </w:rPr>
        <w:t>better-sqlite3</w:t>
      </w:r>
      <w:r>
        <w:rPr/>
        <w:t xml:space="preserve">, in </w:t>
      </w:r>
      <w:r>
        <w:rPr>
          <w:rStyle w:val="Strong"/>
        </w:rPr>
        <w:t>WAL</w:t>
      </w:r>
      <w:r>
        <w:rPr/>
        <w:t xml:space="preserve"> mode, on a persistent Docker volume. One database file, migrated on boot.</w:t>
      </w:r>
    </w:p>
    <w:p>
      <w:pPr>
        <w:pStyle w:val="Heading3"/>
        <w:bidi w:val="0"/>
        <w:jc w:val="left"/>
        <w:rPr/>
      </w:pPr>
      <w:r>
        <w:rPr/>
        <w:t>14.1 Tables</w:t>
      </w:r>
    </w:p>
    <w:p>
      <w:pPr>
        <w:pStyle w:val="BodyText"/>
        <w:bidi w:val="0"/>
        <w:jc w:val="left"/>
        <w:rPr/>
      </w:pPr>
      <w:r>
        <w:rPr>
          <w:rStyle w:val="SourceText"/>
        </w:rPr>
        <w:t>vault_state</w:t>
      </w:r>
      <w:r>
        <w:rPr/>
        <w:t xml:space="preserve"> — one row; the vault's initialisation and (mnemonic mode) encrypted keystore.</w:t>
      </w:r>
    </w:p>
    <w:tbl>
      <w:tblPr>
        <w:tblW w:w="5000" w:type="pct"/>
        <w:jc w:val="left"/>
        <w:tblInd w:w="45" w:type="dxa"/>
        <w:tblLayout w:type="fixed"/>
        <w:tblCellMar>
          <w:top w:w="45" w:type="dxa"/>
          <w:left w:w="45" w:type="dxa"/>
          <w:bottom w:w="45" w:type="dxa"/>
          <w:right w:w="45" w:type="dxa"/>
        </w:tblCellMar>
      </w:tblPr>
      <w:tblGrid>
        <w:gridCol w:w="3481"/>
        <w:gridCol w:w="1782"/>
        <w:gridCol w:w="6075"/>
      </w:tblGrid>
      <w:tr>
        <w:trPr>
          <w:tblHeader w:val="true"/>
        </w:trPr>
        <w:tc>
          <w:tcPr>
            <w:tcW w:w="348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Column</w:t>
            </w:r>
          </w:p>
        </w:tc>
        <w:tc>
          <w:tcPr>
            <w:tcW w:w="178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Type</w:t>
            </w:r>
          </w:p>
        </w:tc>
        <w:tc>
          <w:tcPr>
            <w:tcW w:w="60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Notes</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id</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INTEGER PK</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Always </w:t>
            </w:r>
            <w:r>
              <w:rPr>
                <w:rStyle w:val="SourceText"/>
              </w:rPr>
              <w:t>1</w:t>
            </w:r>
            <w:r>
              <w:rPr/>
              <w:t>.</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mode</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mnemonic</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initialized</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INTEGER</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0/1.</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keystore_ciphertext</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BLOB</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AES-256-GCM ciphertext (mnemonic mode).</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keystore_salt</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BLOB</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scrypt salt.</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keystore_iv</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BLOB</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GCM IV.</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turnkey_org_id</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mode.</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master_location</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internal</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master_address</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Recorded master address (both locations).</w:t>
            </w:r>
          </w:p>
        </w:tc>
      </w:tr>
      <w:tr>
        <w:trPr/>
        <w:tc>
          <w:tcPr>
            <w:tcW w:w="348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master_custodian</w:t>
            </w:r>
          </w:p>
        </w:tc>
        <w:tc>
          <w:tcPr>
            <w:tcW w:w="178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07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Custody label when external (nullable).</w:t>
            </w:r>
          </w:p>
        </w:tc>
      </w:tr>
      <w:tr>
        <w:trPr/>
        <w:tc>
          <w:tcPr>
            <w:tcW w:w="348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created_at</w:t>
            </w:r>
          </w:p>
        </w:tc>
        <w:tc>
          <w:tcPr>
            <w:tcW w:w="178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TEXT</w:t>
            </w:r>
          </w:p>
        </w:tc>
        <w:tc>
          <w:tcPr>
            <w:tcW w:w="607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RFC3339.</w:t>
            </w:r>
          </w:p>
        </w:tc>
      </w:tr>
    </w:tbl>
    <w:p>
      <w:pPr>
        <w:pStyle w:val="BodyText"/>
        <w:bidi w:val="0"/>
        <w:jc w:val="left"/>
        <w:rPr/>
      </w:pPr>
      <w:r>
        <w:rPr>
          <w:rStyle w:val="SourceText"/>
        </w:rPr>
        <w:t>wallets</w:t>
      </w:r>
      <w:r>
        <w:rPr/>
        <w:t xml:space="preserve"> — the address directory.</w:t>
      </w:r>
    </w:p>
    <w:tbl>
      <w:tblPr>
        <w:tblW w:w="5000" w:type="pct"/>
        <w:jc w:val="left"/>
        <w:tblInd w:w="45" w:type="dxa"/>
        <w:tblLayout w:type="fixed"/>
        <w:tblCellMar>
          <w:top w:w="45" w:type="dxa"/>
          <w:left w:w="45" w:type="dxa"/>
          <w:bottom w:w="45" w:type="dxa"/>
          <w:right w:w="45" w:type="dxa"/>
        </w:tblCellMar>
      </w:tblPr>
      <w:tblGrid>
        <w:gridCol w:w="2794"/>
        <w:gridCol w:w="2153"/>
        <w:gridCol w:w="6391"/>
      </w:tblGrid>
      <w:tr>
        <w:trPr>
          <w:tblHeader w:val="true"/>
        </w:trPr>
        <w:tc>
          <w:tcPr>
            <w:tcW w:w="279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Column</w:t>
            </w:r>
          </w:p>
        </w:tc>
        <w:tc>
          <w:tcPr>
            <w:tcW w:w="215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Type</w:t>
            </w:r>
          </w:p>
        </w:tc>
        <w:tc>
          <w:tcPr>
            <w:tcW w:w="63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Notes</w:t>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id</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INTEGER PK</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ref</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 UNIQUE</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Operator customer reference.</w:t>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role</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master</w:t>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derivation_index</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INTEGER UNIQUE</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BIP-44 index.</w:t>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eoa_address</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 UNIQUE</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Lowercased hex.</w:t>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proxy_address</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Lowercased hex; derived.</w:t>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turnkey_account_id</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mode.</w:t>
            </w:r>
          </w:p>
        </w:tc>
      </w:tr>
      <w:tr>
        <w:trPr/>
        <w:tc>
          <w:tcPr>
            <w:tcW w:w="27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dpm_registered</w:t>
            </w:r>
          </w:p>
        </w:tc>
        <w:tc>
          <w:tcPr>
            <w:tcW w:w="215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INTEGER</w:t>
            </w:r>
          </w:p>
        </w:tc>
        <w:tc>
          <w:tcPr>
            <w:tcW w:w="639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0/1; set when the operator confirms Plaee registration.</w:t>
            </w:r>
          </w:p>
        </w:tc>
      </w:tr>
      <w:tr>
        <w:trPr/>
        <w:tc>
          <w:tcPr>
            <w:tcW w:w="27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created_at</w:t>
            </w:r>
          </w:p>
        </w:tc>
        <w:tc>
          <w:tcPr>
            <w:tcW w:w="215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TEXT</w:t>
            </w:r>
          </w:p>
        </w:tc>
        <w:tc>
          <w:tcPr>
            <w:tcW w:w="639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t xml:space="preserve">Indices: </w:t>
      </w:r>
      <w:r>
        <w:rPr>
          <w:rStyle w:val="SourceText"/>
        </w:rPr>
        <w:t>wallets_ref</w:t>
      </w:r>
      <w:r>
        <w:rPr/>
        <w:t xml:space="preserve">, </w:t>
      </w:r>
      <w:r>
        <w:rPr>
          <w:rStyle w:val="SourceText"/>
        </w:rPr>
        <w:t>wallets_eoa_lower</w:t>
      </w:r>
      <w:r>
        <w:rPr/>
        <w:t xml:space="preserve">, </w:t>
      </w:r>
      <w:r>
        <w:rPr>
          <w:rStyle w:val="SourceText"/>
        </w:rPr>
        <w:t>wallets_proxy_lower</w:t>
      </w:r>
      <w:r>
        <w:rPr/>
        <w:t xml:space="preserve">, </w:t>
      </w:r>
      <w:r>
        <w:rPr>
          <w:rStyle w:val="SourceText"/>
        </w:rPr>
        <w:t>wallets_index</w:t>
      </w:r>
      <w:r>
        <w:rPr/>
        <w:t>.</w:t>
      </w:r>
    </w:p>
    <w:p>
      <w:pPr>
        <w:pStyle w:val="BodyText"/>
        <w:bidi w:val="0"/>
        <w:jc w:val="left"/>
        <w:rPr/>
      </w:pPr>
      <w:r>
        <w:rPr>
          <w:rStyle w:val="SourceText"/>
        </w:rPr>
        <w:t>signing_requests</w:t>
      </w:r>
      <w:r>
        <w:rPr/>
        <w:t xml:space="preserve"> — every signing action, for audit and idempotency linkage.</w:t>
      </w:r>
    </w:p>
    <w:tbl>
      <w:tblPr>
        <w:tblW w:w="5000" w:type="pct"/>
        <w:jc w:val="left"/>
        <w:tblInd w:w="45" w:type="dxa"/>
        <w:tblLayout w:type="fixed"/>
        <w:tblCellMar>
          <w:top w:w="45" w:type="dxa"/>
          <w:left w:w="45" w:type="dxa"/>
          <w:bottom w:w="45" w:type="dxa"/>
          <w:right w:w="45" w:type="dxa"/>
        </w:tblCellMar>
      </w:tblPr>
      <w:tblGrid>
        <w:gridCol w:w="3352"/>
        <w:gridCol w:w="1596"/>
        <w:gridCol w:w="6390"/>
      </w:tblGrid>
      <w:tr>
        <w:trPr>
          <w:tblHeader w:val="true"/>
        </w:trPr>
        <w:tc>
          <w:tcPr>
            <w:tcW w:w="335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Column</w:t>
            </w:r>
          </w:p>
        </w:tc>
        <w:tc>
          <w:tcPr>
            <w:tcW w:w="15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Type</w:t>
            </w:r>
          </w:p>
        </w:tc>
        <w:tc>
          <w:tcPr>
            <w:tcW w:w="63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Notes</w:t>
            </w:r>
          </w:p>
        </w:tc>
      </w:tr>
      <w:tr>
        <w:trPr/>
        <w:tc>
          <w:tcPr>
            <w:tcW w:w="335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id</w:t>
            </w:r>
          </w:p>
        </w:tc>
        <w:tc>
          <w:tcPr>
            <w:tcW w:w="1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 PK</w:t>
            </w:r>
          </w:p>
        </w:tc>
        <w:tc>
          <w:tcPr>
            <w:tcW w:w="63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UUID.</w:t>
            </w:r>
          </w:p>
        </w:tc>
      </w:tr>
      <w:tr>
        <w:trPr/>
        <w:tc>
          <w:tcPr>
            <w:tcW w:w="335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ref</w:t>
            </w:r>
          </w:p>
        </w:tc>
        <w:tc>
          <w:tcPr>
            <w:tcW w:w="1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FK-ish to </w:t>
            </w:r>
            <w:r>
              <w:rPr>
                <w:rStyle w:val="SourceText"/>
              </w:rPr>
              <w:t>wallets.ref</w:t>
            </w:r>
            <w:r>
              <w:rPr/>
              <w:t>.</w:t>
            </w:r>
          </w:p>
        </w:tc>
      </w:tr>
      <w:tr>
        <w:trPr/>
        <w:tc>
          <w:tcPr>
            <w:tcW w:w="335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kind</w:t>
            </w:r>
          </w:p>
        </w:tc>
        <w:tc>
          <w:tcPr>
            <w:tcW w:w="1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order</w:t>
            </w:r>
          </w:p>
        </w:tc>
      </w:tr>
      <w:tr>
        <w:trPr/>
        <w:tc>
          <w:tcPr>
            <w:tcW w:w="335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request_hash</w:t>
            </w:r>
          </w:p>
        </w:tc>
        <w:tc>
          <w:tcPr>
            <w:tcW w:w="1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keccak256 of the canonical request.</w:t>
            </w:r>
          </w:p>
        </w:tc>
      </w:tr>
      <w:tr>
        <w:trPr/>
        <w:tc>
          <w:tcPr>
            <w:tcW w:w="335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result_summary</w:t>
            </w:r>
          </w:p>
        </w:tc>
        <w:tc>
          <w:tcPr>
            <w:tcW w:w="1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orderHash / txId prefix (no secrets).</w:t>
            </w:r>
          </w:p>
        </w:tc>
      </w:tr>
      <w:tr>
        <w:trPr/>
        <w:tc>
          <w:tcPr>
            <w:tcW w:w="335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status</w:t>
            </w:r>
          </w:p>
        </w:tc>
        <w:tc>
          <w:tcPr>
            <w:tcW w:w="15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639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ok</w:t>
            </w:r>
          </w:p>
        </w:tc>
      </w:tr>
      <w:tr>
        <w:trPr/>
        <w:tc>
          <w:tcPr>
            <w:tcW w:w="335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created_at</w:t>
            </w:r>
          </w:p>
        </w:tc>
        <w:tc>
          <w:tcPr>
            <w:tcW w:w="15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TEXT</w:t>
            </w:r>
          </w:p>
        </w:tc>
        <w:tc>
          <w:tcPr>
            <w:tcW w:w="639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ourceText"/>
        </w:rPr>
        <w:t>audit_events</w:t>
      </w:r>
      <w:r>
        <w:rPr/>
        <w:t xml:space="preserve"> — human-facing event log for support.</w:t>
      </w:r>
    </w:p>
    <w:tbl>
      <w:tblPr>
        <w:tblW w:w="5000" w:type="pct"/>
        <w:jc w:val="left"/>
        <w:tblInd w:w="45" w:type="dxa"/>
        <w:tblLayout w:type="fixed"/>
        <w:tblCellMar>
          <w:top w:w="45" w:type="dxa"/>
          <w:left w:w="45" w:type="dxa"/>
          <w:bottom w:w="45" w:type="dxa"/>
          <w:right w:w="45" w:type="dxa"/>
        </w:tblCellMar>
      </w:tblPr>
      <w:tblGrid>
        <w:gridCol w:w="1913"/>
        <w:gridCol w:w="1770"/>
        <w:gridCol w:w="7655"/>
      </w:tblGrid>
      <w:tr>
        <w:trPr>
          <w:tblHeader w:val="true"/>
        </w:trPr>
        <w:tc>
          <w:tcPr>
            <w:tcW w:w="191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Column</w:t>
            </w:r>
          </w:p>
        </w:tc>
        <w:tc>
          <w:tcPr>
            <w:tcW w:w="17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Type</w:t>
            </w:r>
          </w:p>
        </w:tc>
        <w:tc>
          <w:tcPr>
            <w:tcW w:w="765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Notes</w:t>
            </w:r>
          </w:p>
        </w:tc>
      </w:tr>
      <w:tr>
        <w:trPr/>
        <w:tc>
          <w:tcPr>
            <w:tcW w:w="191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id</w:t>
            </w:r>
          </w:p>
        </w:tc>
        <w:tc>
          <w:tcPr>
            <w:tcW w:w="17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INTEGER PK</w:t>
            </w:r>
          </w:p>
        </w:tc>
        <w:tc>
          <w:tcPr>
            <w:tcW w:w="7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191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ref</w:t>
            </w:r>
          </w:p>
        </w:tc>
        <w:tc>
          <w:tcPr>
            <w:tcW w:w="17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7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Nullable.</w:t>
            </w:r>
          </w:p>
        </w:tc>
      </w:tr>
      <w:tr>
        <w:trPr/>
        <w:tc>
          <w:tcPr>
            <w:tcW w:w="191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action</w:t>
            </w:r>
          </w:p>
        </w:tc>
        <w:tc>
          <w:tcPr>
            <w:tcW w:w="17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7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e.g. </w:t>
            </w:r>
            <w:r>
              <w:rPr>
                <w:rStyle w:val="SourceText"/>
              </w:rPr>
              <w:t>address.create</w:t>
            </w:r>
            <w:r>
              <w:rPr/>
              <w:t xml:space="preserve">, </w:t>
            </w:r>
            <w:r>
              <w:rPr>
                <w:rStyle w:val="SourceText"/>
              </w:rPr>
              <w:t>sign.order</w:t>
            </w:r>
            <w:r>
              <w:rPr/>
              <w:t xml:space="preserve">, </w:t>
            </w:r>
            <w:r>
              <w:rPr>
                <w:rStyle w:val="SourceText"/>
              </w:rPr>
              <w:t>meta.allowance</w:t>
            </w:r>
            <w:r>
              <w:rPr/>
              <w:t>.</w:t>
            </w:r>
          </w:p>
        </w:tc>
      </w:tr>
      <w:tr>
        <w:trPr/>
        <w:tc>
          <w:tcPr>
            <w:tcW w:w="191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outcome</w:t>
            </w:r>
          </w:p>
        </w:tc>
        <w:tc>
          <w:tcPr>
            <w:tcW w:w="17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7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success</w:t>
            </w:r>
          </w:p>
        </w:tc>
      </w:tr>
      <w:tr>
        <w:trPr/>
        <w:tc>
          <w:tcPr>
            <w:tcW w:w="191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detail</w:t>
            </w:r>
          </w:p>
        </w:tc>
        <w:tc>
          <w:tcPr>
            <w:tcW w:w="1770"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765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Redacted JSON.</w:t>
            </w:r>
          </w:p>
        </w:tc>
      </w:tr>
      <w:tr>
        <w:trPr/>
        <w:tc>
          <w:tcPr>
            <w:tcW w:w="191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created_at</w:t>
            </w:r>
          </w:p>
        </w:tc>
        <w:tc>
          <w:tcPr>
            <w:tcW w:w="177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TEXT</w:t>
            </w:r>
          </w:p>
        </w:tc>
        <w:tc>
          <w:tcPr>
            <w:tcW w:w="765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sz w:val="4"/>
                <w:szCs w:val="4"/>
              </w:rPr>
            </w:pPr>
            <w:r>
              <w:rPr>
                <w:sz w:val="4"/>
                <w:szCs w:val="4"/>
              </w:rPr>
            </w:r>
          </w:p>
        </w:tc>
      </w:tr>
    </w:tbl>
    <w:p>
      <w:pPr>
        <w:pStyle w:val="BodyText"/>
        <w:bidi w:val="0"/>
        <w:jc w:val="left"/>
        <w:rPr/>
      </w:pPr>
      <w:r>
        <w:rPr>
          <w:rStyle w:val="SourceText"/>
        </w:rPr>
        <w:t>idempotency_keys</w:t>
      </w:r>
    </w:p>
    <w:tbl>
      <w:tblPr>
        <w:tblW w:w="5000" w:type="pct"/>
        <w:jc w:val="left"/>
        <w:tblInd w:w="45" w:type="dxa"/>
        <w:tblLayout w:type="fixed"/>
        <w:tblCellMar>
          <w:top w:w="45" w:type="dxa"/>
          <w:left w:w="45" w:type="dxa"/>
          <w:bottom w:w="45" w:type="dxa"/>
          <w:right w:w="45" w:type="dxa"/>
        </w:tblCellMar>
      </w:tblPr>
      <w:tblGrid>
        <w:gridCol w:w="3775"/>
        <w:gridCol w:w="1926"/>
        <w:gridCol w:w="5637"/>
      </w:tblGrid>
      <w:tr>
        <w:trPr>
          <w:tblHeader w:val="true"/>
        </w:trPr>
        <w:tc>
          <w:tcPr>
            <w:tcW w:w="377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Column</w:t>
            </w:r>
          </w:p>
        </w:tc>
        <w:tc>
          <w:tcPr>
            <w:tcW w:w="19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Type</w:t>
            </w:r>
          </w:p>
        </w:tc>
        <w:tc>
          <w:tcPr>
            <w:tcW w:w="56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Notes</w:t>
            </w:r>
          </w:p>
        </w:tc>
      </w:tr>
      <w:tr>
        <w:trPr/>
        <w:tc>
          <w:tcPr>
            <w:tcW w:w="37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key</w:t>
            </w:r>
          </w:p>
        </w:tc>
        <w:tc>
          <w:tcPr>
            <w:tcW w:w="19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 PK</w:t>
            </w:r>
          </w:p>
        </w:tc>
        <w:tc>
          <w:tcPr>
            <w:tcW w:w="56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From </w:t>
            </w:r>
            <w:r>
              <w:rPr>
                <w:rStyle w:val="SourceText"/>
              </w:rPr>
              <w:t>Idempotency-Key</w:t>
            </w:r>
            <w:r>
              <w:rPr/>
              <w:t>.</w:t>
            </w:r>
          </w:p>
        </w:tc>
      </w:tr>
      <w:tr>
        <w:trPr/>
        <w:tc>
          <w:tcPr>
            <w:tcW w:w="37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request_hash</w:t>
            </w:r>
          </w:p>
        </w:tc>
        <w:tc>
          <w:tcPr>
            <w:tcW w:w="19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56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keccak256 of the body.</w:t>
            </w:r>
          </w:p>
        </w:tc>
      </w:tr>
      <w:tr>
        <w:trPr/>
        <w:tc>
          <w:tcPr>
            <w:tcW w:w="37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response_json</w:t>
            </w:r>
          </w:p>
        </w:tc>
        <w:tc>
          <w:tcPr>
            <w:tcW w:w="19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TEXT</w:t>
            </w:r>
          </w:p>
        </w:tc>
        <w:tc>
          <w:tcPr>
            <w:tcW w:w="563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Stored response.</w:t>
            </w:r>
          </w:p>
        </w:tc>
      </w:tr>
      <w:tr>
        <w:trPr/>
        <w:tc>
          <w:tcPr>
            <w:tcW w:w="377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created_at</w:t>
            </w:r>
          </w:p>
        </w:tc>
        <w:tc>
          <w:tcPr>
            <w:tcW w:w="192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TEXT</w:t>
            </w:r>
          </w:p>
        </w:tc>
        <w:tc>
          <w:tcPr>
            <w:tcW w:w="563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TTL-eligible.</w:t>
            </w:r>
          </w:p>
        </w:tc>
      </w:tr>
    </w:tbl>
    <w:p>
      <w:pPr>
        <w:pStyle w:val="Heading3"/>
        <w:bidi w:val="0"/>
        <w:jc w:val="left"/>
        <w:rPr/>
      </w:pPr>
      <w:r>
        <w:rPr/>
        <w:t>14.2 Migrations</w:t>
      </w:r>
    </w:p>
    <w:p>
      <w:pPr>
        <w:pStyle w:val="BodyText"/>
        <w:bidi w:val="0"/>
        <w:jc w:val="left"/>
        <w:rPr/>
      </w:pPr>
      <w:r>
        <w:rPr/>
        <w:t xml:space="preserve">Drizzle migrations live in </w:t>
      </w:r>
      <w:r>
        <w:rPr>
          <w:rStyle w:val="SourceText"/>
        </w:rPr>
        <w:t>src/db/migrations/</w:t>
      </w:r>
      <w:r>
        <w:rPr/>
        <w:t xml:space="preserve"> and run on boot before the HTTP server binds. WAL mode is set via </w:t>
      </w:r>
      <w:r>
        <w:rPr>
          <w:rStyle w:val="SourceText"/>
        </w:rPr>
        <w:t>PRAGMA journal_mode=WAL</w:t>
      </w:r>
      <w:r>
        <w:rPr/>
        <w:t xml:space="preserve"> at connection open.</w:t>
      </w:r>
    </w:p>
    <w:p>
      <w:pPr>
        <w:pStyle w:val="Heading3"/>
        <w:bidi w:val="0"/>
        <w:jc w:val="left"/>
        <w:rPr/>
      </w:pPr>
      <w:r>
        <w:rPr/>
        <w:t>14.3 Durability across container restarts</w:t>
      </w:r>
    </w:p>
    <w:p>
      <w:pPr>
        <w:pStyle w:val="BodyText"/>
        <w:bidi w:val="0"/>
        <w:jc w:val="left"/>
        <w:rPr/>
      </w:pPr>
      <w:r>
        <w:rPr>
          <w:rStyle w:val="Strong"/>
        </w:rPr>
        <w:t>Yes — SQLite is durable in Docker, provided the database file lives on a mounted volume rather than the container's writable layer.</w:t>
      </w:r>
      <w:r>
        <w:rPr/>
        <w:t xml:space="preserve"> The container filesystem is discarded when the container is removed; the volume is not. With </w:t>
      </w:r>
      <w:r>
        <w:rPr>
          <w:rStyle w:val="SourceText"/>
        </w:rPr>
        <w:t>DATABASE_PATH=/data/dpmw.sqlite</w:t>
      </w:r>
      <w:r>
        <w:rPr/>
        <w:t xml:space="preserve"> and </w:t>
      </w:r>
      <w:r>
        <w:rPr>
          <w:rStyle w:val="SourceText"/>
        </w:rPr>
        <w:t>/data</w:t>
      </w:r>
      <w:r>
        <w:rPr/>
        <w:t xml:space="preserve"> backed by the named volume </w:t>
      </w:r>
      <w:r>
        <w:rPr>
          <w:rStyle w:val="SourceText"/>
        </w:rPr>
        <w:t>dpmw-data</w:t>
      </w:r>
      <w:r>
        <w:rPr/>
        <w:t xml:space="preserve">, the database survives </w:t>
      </w:r>
      <w:r>
        <w:rPr>
          <w:rStyle w:val="SourceText"/>
        </w:rPr>
        <w:t>docker stop</w:t>
      </w:r>
      <w:r>
        <w:rPr/>
        <w:t>/</w:t>
      </w:r>
      <w:r>
        <w:rPr>
          <w:rStyle w:val="SourceText"/>
        </w:rPr>
        <w:t>start</w:t>
      </w:r>
      <w:r>
        <w:rPr/>
        <w:t xml:space="preserve">, </w:t>
      </w:r>
      <w:r>
        <w:rPr>
          <w:rStyle w:val="SourceText"/>
        </w:rPr>
        <w:t>docker restart</w:t>
      </w:r>
      <w:r>
        <w:rPr/>
        <w:t xml:space="preserve">, </w:t>
      </w:r>
      <w:r>
        <w:rPr>
          <w:rStyle w:val="SourceText"/>
        </w:rPr>
        <w:t>docker rm</w:t>
      </w:r>
      <w:r>
        <w:rPr/>
        <w:t xml:space="preserve"> + re-create, and image rebuilds or version upgrades. It is destroyed only by an explicit </w:t>
      </w:r>
      <w:r>
        <w:rPr>
          <w:rStyle w:val="SourceText"/>
        </w:rPr>
        <w:t>docker volume rm dpmw-data</w:t>
      </w:r>
      <w:r>
        <w:rPr/>
        <w:t xml:space="preserve"> or a </w:t>
      </w:r>
      <w:r>
        <w:rPr>
          <w:rStyle w:val="SourceText"/>
        </w:rPr>
        <w:t>docker compose down -v</w:t>
      </w:r>
      <w:r>
        <w:rPr/>
        <w:t xml:space="preserve"> (note the </w:t>
      </w:r>
      <w:r>
        <w:rPr>
          <w:rStyle w:val="SourceText"/>
        </w:rPr>
        <w:t>-v</w:t>
      </w:r>
      <w:r>
        <w:rPr/>
        <w:t>).</w:t>
      </w:r>
    </w:p>
    <w:p>
      <w:pPr>
        <w:pStyle w:val="BodyText"/>
        <w:bidi w:val="0"/>
        <w:jc w:val="left"/>
        <w:rPr/>
      </w:pPr>
      <w:r>
        <w:rPr/>
        <w:t>Four rules make this safe in practice:</w:t>
      </w:r>
    </w:p>
    <w:tbl>
      <w:tblPr>
        <w:tblW w:w="5000" w:type="pct"/>
        <w:jc w:val="left"/>
        <w:tblInd w:w="45" w:type="dxa"/>
        <w:tblLayout w:type="fixed"/>
        <w:tblCellMar>
          <w:top w:w="45" w:type="dxa"/>
          <w:left w:w="45" w:type="dxa"/>
          <w:bottom w:w="45" w:type="dxa"/>
          <w:right w:w="45" w:type="dxa"/>
        </w:tblCellMar>
      </w:tblPr>
      <w:tblGrid>
        <w:gridCol w:w="3400"/>
        <w:gridCol w:w="7939"/>
      </w:tblGrid>
      <w:tr>
        <w:trPr>
          <w:tblHeader w:val="true"/>
        </w:trPr>
        <w:tc>
          <w:tcPr>
            <w:tcW w:w="34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Rule</w:t>
            </w:r>
          </w:p>
        </w:tc>
        <w:tc>
          <w:tcPr>
            <w:tcW w:w="79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Why</w:t>
            </w:r>
          </w:p>
        </w:tc>
      </w:tr>
      <w:tr>
        <w:trPr/>
        <w:tc>
          <w:tcPr>
            <w:tcW w:w="34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Mount the directory, never the file.</w:t>
            </w:r>
            <w:r>
              <w:rPr/>
              <w:t xml:space="preserve"> Bind-mount </w:t>
            </w:r>
            <w:r>
              <w:rPr>
                <w:rStyle w:val="SourceText"/>
              </w:rPr>
              <w:t>/data</w:t>
            </w:r>
            <w:r>
              <w:rPr/>
              <w:t xml:space="preserve">, not </w:t>
            </w:r>
            <w:r>
              <w:rPr>
                <w:rStyle w:val="SourceText"/>
              </w:rPr>
              <w:t>/data/dpmw.sqlite</w:t>
            </w:r>
            <w:r>
              <w:rPr/>
              <w:t>.</w:t>
            </w:r>
          </w:p>
        </w:tc>
        <w:tc>
          <w:tcPr>
            <w:tcW w:w="793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WAL mode writes two sidecar files next to the database — </w:t>
            </w:r>
            <w:r>
              <w:rPr>
                <w:rStyle w:val="SourceText"/>
              </w:rPr>
              <w:t>dpmw.sqlite-wal</w:t>
            </w:r>
            <w:r>
              <w:rPr/>
              <w:t xml:space="preserve"> and </w:t>
            </w:r>
            <w:r>
              <w:rPr>
                <w:rStyle w:val="SourceText"/>
              </w:rPr>
              <w:t>dpmw.sqlite-shm</w:t>
            </w:r>
            <w:r>
              <w:rPr/>
              <w:t>. They must sit on the same filesystem as the main file, and SQLite recovery may recreate them. A single-file bind mount breaks both.</w:t>
            </w:r>
          </w:p>
        </w:tc>
      </w:tr>
      <w:tr>
        <w:trPr/>
        <w:tc>
          <w:tcPr>
            <w:tcW w:w="34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Local disk only — no NFS/SMB/network volumes.</w:t>
            </w:r>
          </w:p>
        </w:tc>
        <w:tc>
          <w:tcPr>
            <w:tcW w:w="793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SQLite relies on POSIX advisory locking, which is unreliable over network filesystems and can silently corrupt the database.</w:t>
            </w:r>
          </w:p>
        </w:tc>
      </w:tr>
      <w:tr>
        <w:trPr/>
        <w:tc>
          <w:tcPr>
            <w:tcW w:w="340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Exactly one writer.</w:t>
            </w:r>
            <w:r>
              <w:rPr/>
              <w:t xml:space="preserve"> Never run more than one </w:t>
            </w:r>
            <w:r>
              <w:rPr>
                <w:rStyle w:val="SourceText"/>
              </w:rPr>
              <w:t>dpmw</w:t>
            </w:r>
            <w:r>
              <w:rPr/>
              <w:t xml:space="preserve"> container against the same volume (</w:t>
            </w:r>
            <w:r>
              <w:rPr>
                <w:rStyle w:val="SourceText"/>
              </w:rPr>
              <w:t>replicas: 1</w:t>
            </w:r>
            <w:r>
              <w:rPr/>
              <w:t>).</w:t>
            </w:r>
          </w:p>
        </w:tc>
        <w:tc>
          <w:tcPr>
            <w:tcW w:w="793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SQLite permits one writer at a time; two containers sharing a volume will produce lock contention and, on a network mount, corruption.</w:t>
            </w:r>
          </w:p>
        </w:tc>
      </w:tr>
      <w:tr>
        <w:trPr/>
        <w:tc>
          <w:tcPr>
            <w:tcW w:w="340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PRAGMA synchronous=FULL</w:t>
            </w:r>
            <w:r>
              <w:rPr/>
              <w:t>.</w:t>
            </w:r>
          </w:p>
        </w:tc>
        <w:tc>
          <w:tcPr>
            <w:tcW w:w="793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In WAL mode the SQLite default is </w:t>
            </w:r>
            <w:r>
              <w:rPr>
                <w:rStyle w:val="SourceText"/>
              </w:rPr>
              <w:t>NORMAL</w:t>
            </w:r>
            <w:r>
              <w:rPr/>
              <w:t>, which fsyncs only at checkpoint — a host crash or power loss can lose the most recently committed transactions. For a wallet directory, losing a just-created address record means losing track of customer funds, so the write-latency cost is worth paying.</w:t>
            </w:r>
          </w:p>
        </w:tc>
      </w:tr>
    </w:tbl>
    <w:p>
      <w:pPr>
        <w:pStyle w:val="BodyText"/>
        <w:bidi w:val="0"/>
        <w:jc w:val="left"/>
        <w:rPr/>
      </w:pPr>
      <w:r>
        <w:rPr/>
        <w:t xml:space="preserve">Connection pragmas set in </w:t>
      </w:r>
      <w:r>
        <w:rPr>
          <w:rStyle w:val="SourceText"/>
        </w:rPr>
        <w:t>src/db/client.ts</w:t>
      </w:r>
      <w:r>
        <w:rPr/>
        <w:t xml:space="preserve"> at open:</w:t>
      </w:r>
    </w:p>
    <w:p>
      <w:pPr>
        <w:pStyle w:val="PreformattedText"/>
        <w:bidi w:val="0"/>
        <w:jc w:val="left"/>
        <w:rPr/>
      </w:pPr>
      <w:r>
        <w:rPr>
          <w:rStyle w:val="SourceText"/>
        </w:rPr>
        <w:t>db.pragma("journal_mode = WAL");   // concurrent reads during writes; crash-safe</w:t>
      </w:r>
    </w:p>
    <w:p>
      <w:pPr>
        <w:pStyle w:val="PreformattedText"/>
        <w:bidi w:val="0"/>
        <w:jc w:val="left"/>
        <w:rPr/>
      </w:pPr>
      <w:r>
        <w:rPr>
          <w:rStyle w:val="SourceText"/>
        </w:rPr>
        <w:t>db.pragma("synchronous = FULL");   // fsync every commit — no lost address rows</w:t>
      </w:r>
    </w:p>
    <w:p>
      <w:pPr>
        <w:pStyle w:val="PreformattedText"/>
        <w:bidi w:val="0"/>
        <w:jc w:val="left"/>
        <w:rPr/>
      </w:pPr>
      <w:r>
        <w:rPr>
          <w:rStyle w:val="SourceText"/>
        </w:rPr>
        <w:t>db.pragma("foreign_keys = ON");</w:t>
      </w:r>
    </w:p>
    <w:p>
      <w:pPr>
        <w:pStyle w:val="PreformattedText"/>
        <w:bidi w:val="0"/>
        <w:spacing w:before="0" w:after="283"/>
        <w:jc w:val="left"/>
        <w:rPr/>
      </w:pPr>
      <w:r>
        <w:rPr>
          <w:rStyle w:val="SourceText"/>
        </w:rPr>
        <w:t>db.pragma("busy_timeout = 5000");  // wait rather than throw SQLITE_BUSY</w:t>
      </w:r>
    </w:p>
    <w:p>
      <w:pPr>
        <w:pStyle w:val="BodyText"/>
        <w:bidi w:val="0"/>
        <w:jc w:val="left"/>
        <w:rPr/>
      </w:pPr>
      <w:r>
        <w:rPr>
          <w:rStyle w:val="Strong"/>
        </w:rPr>
        <w:t>Crash safety.</w:t>
      </w:r>
      <w:r>
        <w:rPr/>
        <w:t xml:space="preserve"> A </w:t>
      </w:r>
      <w:r>
        <w:rPr>
          <w:rStyle w:val="SourceText"/>
        </w:rPr>
        <w:t>docker kill</w:t>
      </w:r>
      <w:r>
        <w:rPr/>
        <w:t xml:space="preserve">, OOM kill, or host power loss leaves a populated </w:t>
      </w:r>
      <w:r>
        <w:rPr>
          <w:rStyle w:val="SourceText"/>
        </w:rPr>
        <w:t>-wal</w:t>
      </w:r>
      <w:r>
        <w:rPr/>
        <w:t xml:space="preserve"> file; SQLite replays it automatically on the next open, so every committed transaction is present and no partial transaction is. No manual repair step is needed.</w:t>
      </w:r>
    </w:p>
    <w:p>
      <w:pPr>
        <w:pStyle w:val="BodyText"/>
        <w:bidi w:val="0"/>
        <w:jc w:val="left"/>
        <w:rPr/>
      </w:pPr>
      <w:r>
        <w:rPr>
          <w:rStyle w:val="Strong"/>
        </w:rPr>
        <w:t>Graceful shutdown.</w:t>
      </w:r>
      <w:r>
        <w:rPr/>
        <w:t xml:space="preserve"> On </w:t>
      </w:r>
      <w:r>
        <w:rPr>
          <w:rStyle w:val="SourceText"/>
        </w:rPr>
        <w:t>SIGTERM</w:t>
      </w:r>
      <w:r>
        <w:rPr/>
        <w:t xml:space="preserve"> (what </w:t>
      </w:r>
      <w:r>
        <w:rPr>
          <w:rStyle w:val="SourceText"/>
        </w:rPr>
        <w:t>docker stop</w:t>
      </w:r>
      <w:r>
        <w:rPr/>
        <w:t xml:space="preserve"> sends, forwarded by </w:t>
      </w:r>
      <w:r>
        <w:rPr>
          <w:rStyle w:val="SourceText"/>
        </w:rPr>
        <w:t>tini</w:t>
      </w:r>
      <w:r>
        <w:rPr/>
        <w:t xml:space="preserve">), the process stops accepting new requests, lets in-flight ones finish, then closes the database — which runs a final WAL checkpoint and folds the </w:t>
      </w:r>
      <w:r>
        <w:rPr>
          <w:rStyle w:val="SourceText"/>
        </w:rPr>
        <w:t>-wal</w:t>
      </w:r>
      <w:r>
        <w:rPr/>
        <w:t xml:space="preserve"> contents back into the main file. This is not required for correctness, but it means the volume holds a single self-contained file, which makes backups and restores simpler.</w:t>
      </w:r>
    </w:p>
    <w:p>
      <w:pPr>
        <w:pStyle w:val="BodyText"/>
        <w:bidi w:val="0"/>
        <w:jc w:val="left"/>
        <w:rPr/>
      </w:pPr>
      <w:r>
        <w:rPr/>
        <w:t xml:space="preserve">Because the </w:t>
      </w:r>
      <w:r>
        <w:rPr>
          <w:rStyle w:val="SourceText"/>
        </w:rPr>
        <w:t>dpmw</w:t>
      </w:r>
      <w:r>
        <w:rPr/>
        <w:t xml:space="preserve"> is sign-only, there is </w:t>
      </w:r>
      <w:r>
        <w:rPr>
          <w:rStyle w:val="Strong"/>
        </w:rPr>
        <w:t>no in-flight state to recover</w:t>
      </w:r>
      <w:r>
        <w:rPr/>
        <w:t xml:space="preserve">. Signing is deterministic and holds nothing across requests; RelayHub nonces are fetched from </w:t>
      </w:r>
      <w:r>
        <w:rPr>
          <w:rStyle w:val="SourceText"/>
        </w:rPr>
        <w:t>relayer-api</w:t>
      </w:r>
      <w:r>
        <w:rPr/>
        <w:t xml:space="preserve"> at signing time rather than stored. A crash mid-request loses at most that one response, and the caller can safely retry with the same </w:t>
      </w:r>
      <w:r>
        <w:rPr>
          <w:rStyle w:val="SourceText"/>
        </w:rPr>
        <w:t>Idempotency-Key</w:t>
      </w:r>
      <w:r>
        <w:rPr/>
        <w:t>.</w:t>
      </w:r>
    </w:p>
    <w:p>
      <w:pPr>
        <w:pStyle w:val="HorizontalLine"/>
        <w:bidi w:val="0"/>
        <w:jc w:val="left"/>
        <w:rPr/>
      </w:pPr>
      <w:r>
        <w:rPr/>
      </w:r>
    </w:p>
    <w:p>
      <w:pPr>
        <w:pStyle w:val="Heading2"/>
        <w:bidi w:val="0"/>
        <w:jc w:val="left"/>
        <w:rPr/>
      </w:pPr>
      <w:r>
        <w:rPr/>
        <w:t>15. Project structure</w:t>
      </w:r>
    </w:p>
    <w:p>
      <w:pPr>
        <w:pStyle w:val="BodyText"/>
        <w:bidi w:val="0"/>
        <w:jc w:val="left"/>
        <w:rPr/>
      </w:pPr>
      <w:r>
        <w:rPr/>
        <w:t xml:space="preserve">A flat, </w:t>
      </w:r>
      <w:r>
        <w:rPr>
          <w:rStyle w:val="SourceText"/>
        </w:rPr>
        <w:t>tsc</w:t>
      </w:r>
      <w:r>
        <w:rPr/>
        <w:t>-built ESM service in the style of prediction-gateway, with viem-based crypto in the style of dpm-sdk.</w:t>
      </w:r>
    </w:p>
    <w:p>
      <w:pPr>
        <w:pStyle w:val="PreformattedText"/>
        <w:bidi w:val="0"/>
        <w:jc w:val="left"/>
        <w:rPr/>
      </w:pPr>
      <w:r>
        <w:rPr>
          <w:rStyle w:val="SourceText"/>
        </w:rPr>
        <w:t>dpm-wallet/</w:t>
      </w:r>
    </w:p>
    <w:p>
      <w:pPr>
        <w:pStyle w:val="PreformattedText"/>
        <w:bidi w:val="0"/>
        <w:jc w:val="left"/>
        <w:rPr/>
      </w:pPr>
      <w:r>
        <w:rPr>
          <w:rStyle w:val="SourceText"/>
        </w:rPr>
        <w:t xml:space="preserve">├── </w:t>
      </w:r>
      <w:r>
        <w:rPr>
          <w:rStyle w:val="SourceText"/>
        </w:rPr>
        <w:t>docs/</w:t>
      </w:r>
    </w:p>
    <w:p>
      <w:pPr>
        <w:pStyle w:val="PreformattedText"/>
        <w:bidi w:val="0"/>
        <w:jc w:val="left"/>
        <w:rPr/>
      </w:pPr>
      <w:r>
        <w:rPr>
          <w:rStyle w:val="SourceText"/>
        </w:rPr>
        <w:t xml:space="preserve">│   └── </w:t>
      </w:r>
      <w:r>
        <w:rPr>
          <w:rStyle w:val="SourceText"/>
        </w:rPr>
        <w:t>TECHNICAL-SPEC.md</w:t>
      </w:r>
    </w:p>
    <w:p>
      <w:pPr>
        <w:pStyle w:val="PreformattedText"/>
        <w:bidi w:val="0"/>
        <w:jc w:val="left"/>
        <w:rPr/>
      </w:pPr>
      <w:r>
        <w:rPr>
          <w:rStyle w:val="SourceText"/>
        </w:rPr>
        <w:t xml:space="preserve">├── </w:t>
      </w:r>
      <w:r>
        <w:rPr>
          <w:rStyle w:val="SourceText"/>
        </w:rPr>
        <w:t>src/</w:t>
      </w:r>
    </w:p>
    <w:p>
      <w:pPr>
        <w:pStyle w:val="PreformattedText"/>
        <w:bidi w:val="0"/>
        <w:jc w:val="left"/>
        <w:rPr/>
      </w:pPr>
      <w:r>
        <w:rPr>
          <w:rStyle w:val="SourceText"/>
        </w:rPr>
        <w:t xml:space="preserve">│   ├── </w:t>
      </w:r>
      <w:r>
        <w:rPr>
          <w:rStyle w:val="SourceText"/>
        </w:rPr>
        <w:t>index.ts                 # entry: load config, run migrations, start server</w:t>
      </w:r>
    </w:p>
    <w:p>
      <w:pPr>
        <w:pStyle w:val="PreformattedText"/>
        <w:bidi w:val="0"/>
        <w:jc w:val="left"/>
        <w:rPr/>
      </w:pPr>
      <w:r>
        <w:rPr>
          <w:rStyle w:val="SourceText"/>
        </w:rPr>
        <w:t xml:space="preserve">│   ├── </w:t>
      </w:r>
      <w:r>
        <w:rPr>
          <w:rStyle w:val="SourceText"/>
        </w:rPr>
        <w:t>config.ts                # env → typed Config (manual parse + validation)</w:t>
      </w:r>
    </w:p>
    <w:p>
      <w:pPr>
        <w:pStyle w:val="PreformattedText"/>
        <w:bidi w:val="0"/>
        <w:jc w:val="left"/>
        <w:rPr/>
      </w:pPr>
      <w:r>
        <w:rPr>
          <w:rStyle w:val="SourceText"/>
        </w:rPr>
        <w:t xml:space="preserve">│   ├── </w:t>
      </w:r>
      <w:r>
        <w:rPr>
          <w:rStyle w:val="SourceText"/>
        </w:rPr>
        <w:t>app.ts                   # Express app factory + route wiring</w:t>
      </w:r>
    </w:p>
    <w:p>
      <w:pPr>
        <w:pStyle w:val="PreformattedText"/>
        <w:bidi w:val="0"/>
        <w:jc w:val="left"/>
        <w:rPr/>
      </w:pPr>
      <w:r>
        <w:rPr>
          <w:rStyle w:val="SourceText"/>
        </w:rPr>
        <w:t xml:space="preserve">│   ├── </w:t>
      </w:r>
      <w:r>
        <w:rPr>
          <w:rStyle w:val="SourceText"/>
        </w:rPr>
        <w:t>http/</w:t>
      </w:r>
    </w:p>
    <w:p>
      <w:pPr>
        <w:pStyle w:val="PreformattedText"/>
        <w:bidi w:val="0"/>
        <w:jc w:val="left"/>
        <w:rPr/>
      </w:pPr>
      <w:r>
        <w:rPr>
          <w:rStyle w:val="SourceText"/>
        </w:rPr>
        <w:t xml:space="preserve">│   │   ├── </w:t>
      </w:r>
      <w:r>
        <w:rPr>
          <w:rStyle w:val="SourceText"/>
        </w:rPr>
        <w:t>middleware/</w:t>
      </w:r>
    </w:p>
    <w:p>
      <w:pPr>
        <w:pStyle w:val="PreformattedText"/>
        <w:bidi w:val="0"/>
        <w:jc w:val="left"/>
        <w:rPr/>
      </w:pPr>
      <w:r>
        <w:rPr>
          <w:rStyle w:val="SourceText"/>
        </w:rPr>
        <w:t xml:space="preserve">│   │   │   ├── </w:t>
      </w:r>
      <w:r>
        <w:rPr>
          <w:rStyle w:val="SourceText"/>
        </w:rPr>
        <w:t>api-key.ts        # X-API-Key</w:t>
      </w:r>
    </w:p>
    <w:p>
      <w:pPr>
        <w:pStyle w:val="PreformattedText"/>
        <w:bidi w:val="0"/>
        <w:jc w:val="left"/>
        <w:rPr/>
      </w:pPr>
      <w:r>
        <w:rPr>
          <w:rStyle w:val="SourceText"/>
        </w:rPr>
        <w:t xml:space="preserve">│   │   │   ├── </w:t>
      </w:r>
      <w:r>
        <w:rPr>
          <w:rStyle w:val="SourceText"/>
        </w:rPr>
        <w:t>idempotency.ts</w:t>
      </w:r>
    </w:p>
    <w:p>
      <w:pPr>
        <w:pStyle w:val="PreformattedText"/>
        <w:bidi w:val="0"/>
        <w:jc w:val="left"/>
        <w:rPr/>
      </w:pPr>
      <w:r>
        <w:rPr>
          <w:rStyle w:val="SourceText"/>
        </w:rPr>
        <w:t xml:space="preserve">│   │   │   └── </w:t>
      </w:r>
      <w:r>
        <w:rPr>
          <w:rStyle w:val="SourceText"/>
        </w:rPr>
        <w:t>error-handler.ts  # error envelope</w:t>
      </w:r>
    </w:p>
    <w:p>
      <w:pPr>
        <w:pStyle w:val="PreformattedText"/>
        <w:bidi w:val="0"/>
        <w:jc w:val="left"/>
        <w:rPr/>
      </w:pPr>
      <w:r>
        <w:rPr>
          <w:rStyle w:val="SourceText"/>
        </w:rPr>
        <w:t xml:space="preserve">│   │   ├── </w:t>
      </w:r>
      <w:r>
        <w:rPr>
          <w:rStyle w:val="SourceText"/>
        </w:rPr>
        <w:t>routes/</w:t>
      </w:r>
    </w:p>
    <w:p>
      <w:pPr>
        <w:pStyle w:val="PreformattedText"/>
        <w:bidi w:val="0"/>
        <w:jc w:val="left"/>
        <w:rPr/>
      </w:pPr>
      <w:r>
        <w:rPr>
          <w:rStyle w:val="SourceText"/>
        </w:rPr>
        <w:t xml:space="preserve">│   │   │   ├── </w:t>
      </w:r>
      <w:r>
        <w:rPr>
          <w:rStyle w:val="SourceText"/>
        </w:rPr>
        <w:t>vault.routes.ts</w:t>
      </w:r>
    </w:p>
    <w:p>
      <w:pPr>
        <w:pStyle w:val="PreformattedText"/>
        <w:bidi w:val="0"/>
        <w:jc w:val="left"/>
        <w:rPr/>
      </w:pPr>
      <w:r>
        <w:rPr>
          <w:rStyle w:val="SourceText"/>
        </w:rPr>
        <w:t xml:space="preserve">│   │   │   ├── </w:t>
      </w:r>
      <w:r>
        <w:rPr>
          <w:rStyle w:val="SourceText"/>
        </w:rPr>
        <w:t>address.routes.ts</w:t>
      </w:r>
    </w:p>
    <w:p>
      <w:pPr>
        <w:pStyle w:val="PreformattedText"/>
        <w:bidi w:val="0"/>
        <w:jc w:val="left"/>
        <w:rPr/>
      </w:pPr>
      <w:r>
        <w:rPr>
          <w:rStyle w:val="SourceText"/>
        </w:rPr>
        <w:t xml:space="preserve">│   │   │   ├── </w:t>
      </w:r>
      <w:r>
        <w:rPr>
          <w:rStyle w:val="SourceText"/>
        </w:rPr>
        <w:t>sign.routes.ts    # order + cancel</w:t>
      </w:r>
    </w:p>
    <w:p>
      <w:pPr>
        <w:pStyle w:val="PreformattedText"/>
        <w:bidi w:val="0"/>
        <w:jc w:val="left"/>
        <w:rPr/>
      </w:pPr>
      <w:r>
        <w:rPr>
          <w:rStyle w:val="SourceText"/>
        </w:rPr>
        <w:t xml:space="preserve">│   │   │   ├── </w:t>
      </w:r>
      <w:r>
        <w:rPr>
          <w:rStyle w:val="SourceText"/>
        </w:rPr>
        <w:t>meta-tx.routes.ts</w:t>
      </w:r>
    </w:p>
    <w:p>
      <w:pPr>
        <w:pStyle w:val="PreformattedText"/>
        <w:bidi w:val="0"/>
        <w:jc w:val="left"/>
        <w:rPr/>
      </w:pPr>
      <w:r>
        <w:rPr>
          <w:rStyle w:val="SourceText"/>
        </w:rPr>
        <w:t xml:space="preserve">│   │   │   ├── </w:t>
      </w:r>
      <w:r>
        <w:rPr>
          <w:rStyle w:val="SourceText"/>
        </w:rPr>
        <w:t>treasury.routes.ts</w:t>
      </w:r>
    </w:p>
    <w:p>
      <w:pPr>
        <w:pStyle w:val="PreformattedText"/>
        <w:bidi w:val="0"/>
        <w:jc w:val="left"/>
        <w:rPr/>
      </w:pPr>
      <w:r>
        <w:rPr>
          <w:rStyle w:val="SourceText"/>
        </w:rPr>
        <w:t xml:space="preserve">│   │   │   └── </w:t>
      </w:r>
      <w:r>
        <w:rPr>
          <w:rStyle w:val="SourceText"/>
        </w:rPr>
        <w:t>audit.routes.ts</w:t>
      </w:r>
    </w:p>
    <w:p>
      <w:pPr>
        <w:pStyle w:val="PreformattedText"/>
        <w:bidi w:val="0"/>
        <w:jc w:val="left"/>
        <w:rPr/>
      </w:pPr>
      <w:r>
        <w:rPr>
          <w:rStyle w:val="SourceText"/>
        </w:rPr>
        <w:t xml:space="preserve">│   │   └── </w:t>
      </w:r>
      <w:r>
        <w:rPr>
          <w:rStyle w:val="SourceText"/>
        </w:rPr>
        <w:t>dto/                  # zod schemas (request + response)</w:t>
      </w:r>
    </w:p>
    <w:p>
      <w:pPr>
        <w:pStyle w:val="PreformattedText"/>
        <w:bidi w:val="0"/>
        <w:jc w:val="left"/>
        <w:rPr/>
      </w:pPr>
      <w:r>
        <w:rPr>
          <w:rStyle w:val="SourceText"/>
        </w:rPr>
        <w:t xml:space="preserve">│   ├── </w:t>
      </w:r>
      <w:r>
        <w:rPr>
          <w:rStyle w:val="SourceText"/>
        </w:rPr>
        <w:t>services/</w:t>
      </w:r>
    </w:p>
    <w:p>
      <w:pPr>
        <w:pStyle w:val="PreformattedText"/>
        <w:bidi w:val="0"/>
        <w:jc w:val="left"/>
        <w:rPr/>
      </w:pPr>
      <w:r>
        <w:rPr>
          <w:rStyle w:val="SourceText"/>
        </w:rPr>
        <w:t xml:space="preserve">│   │   ├── </w:t>
      </w:r>
      <w:r>
        <w:rPr>
          <w:rStyle w:val="SourceText"/>
        </w:rPr>
        <w:t>address.service.ts</w:t>
      </w:r>
    </w:p>
    <w:p>
      <w:pPr>
        <w:pStyle w:val="PreformattedText"/>
        <w:bidi w:val="0"/>
        <w:jc w:val="left"/>
        <w:rPr/>
      </w:pPr>
      <w:r>
        <w:rPr>
          <w:rStyle w:val="SourceText"/>
        </w:rPr>
        <w:t xml:space="preserve">│   │   ├── </w:t>
      </w:r>
      <w:r>
        <w:rPr>
          <w:rStyle w:val="SourceText"/>
        </w:rPr>
        <w:t>order-signer.service.ts</w:t>
      </w:r>
    </w:p>
    <w:p>
      <w:pPr>
        <w:pStyle w:val="PreformattedText"/>
        <w:bidi w:val="0"/>
        <w:jc w:val="left"/>
        <w:rPr/>
      </w:pPr>
      <w:r>
        <w:rPr>
          <w:rStyle w:val="SourceText"/>
        </w:rPr>
        <w:t xml:space="preserve">│   │   ├── </w:t>
      </w:r>
      <w:r>
        <w:rPr>
          <w:rStyle w:val="SourceText"/>
        </w:rPr>
        <w:t>meta-tx.service.ts</w:t>
      </w:r>
    </w:p>
    <w:p>
      <w:pPr>
        <w:pStyle w:val="PreformattedText"/>
        <w:bidi w:val="0"/>
        <w:jc w:val="left"/>
        <w:rPr/>
      </w:pPr>
      <w:r>
        <w:rPr>
          <w:rStyle w:val="SourceText"/>
        </w:rPr>
        <w:t xml:space="preserve">│   │   ├── </w:t>
      </w:r>
      <w:r>
        <w:rPr>
          <w:rStyle w:val="SourceText"/>
        </w:rPr>
        <w:t>treasury.service.ts</w:t>
      </w:r>
    </w:p>
    <w:p>
      <w:pPr>
        <w:pStyle w:val="PreformattedText"/>
        <w:bidi w:val="0"/>
        <w:jc w:val="left"/>
        <w:rPr/>
      </w:pPr>
      <w:r>
        <w:rPr>
          <w:rStyle w:val="SourceText"/>
        </w:rPr>
        <w:t xml:space="preserve">│   │   └── </w:t>
      </w:r>
      <w:r>
        <w:rPr>
          <w:rStyle w:val="SourceText"/>
        </w:rPr>
        <w:t>policy.ts            # treasury destination allowlist / dual control</w:t>
      </w:r>
    </w:p>
    <w:p>
      <w:pPr>
        <w:pStyle w:val="PreformattedText"/>
        <w:bidi w:val="0"/>
        <w:jc w:val="left"/>
        <w:rPr/>
      </w:pPr>
      <w:r>
        <w:rPr>
          <w:rStyle w:val="SourceText"/>
        </w:rPr>
        <w:t xml:space="preserve">│   ├── </w:t>
      </w:r>
      <w:r>
        <w:rPr>
          <w:rStyle w:val="SourceText"/>
        </w:rPr>
        <w:t>vault/</w:t>
      </w:r>
    </w:p>
    <w:p>
      <w:pPr>
        <w:pStyle w:val="PreformattedText"/>
        <w:bidi w:val="0"/>
        <w:jc w:val="left"/>
        <w:rPr/>
      </w:pPr>
      <w:r>
        <w:rPr>
          <w:rStyle w:val="SourceText"/>
        </w:rPr>
        <w:t xml:space="preserve">│   │   ├── </w:t>
      </w:r>
      <w:r>
        <w:rPr>
          <w:rStyle w:val="SourceText"/>
        </w:rPr>
        <w:t>key-vault.ts         # KeyVault port + types</w:t>
      </w:r>
    </w:p>
    <w:p>
      <w:pPr>
        <w:pStyle w:val="PreformattedText"/>
        <w:bidi w:val="0"/>
        <w:jc w:val="left"/>
        <w:rPr/>
      </w:pPr>
      <w:r>
        <w:rPr>
          <w:rStyle w:val="SourceText"/>
        </w:rPr>
        <w:t xml:space="preserve">│   │   ├── </w:t>
      </w:r>
      <w:r>
        <w:rPr>
          <w:rStyle w:val="SourceText"/>
        </w:rPr>
        <w:t>mnemonic-vault.ts    # BIP-39/44 + AES-256-GCM keystore</w:t>
      </w:r>
    </w:p>
    <w:p>
      <w:pPr>
        <w:pStyle w:val="PreformattedText"/>
        <w:bidi w:val="0"/>
        <w:jc w:val="left"/>
        <w:rPr/>
      </w:pPr>
      <w:r>
        <w:rPr>
          <w:rStyle w:val="SourceText"/>
        </w:rPr>
        <w:t xml:space="preserve">│   │   ├── </w:t>
      </w:r>
      <w:r>
        <w:rPr>
          <w:rStyle w:val="SourceText"/>
        </w:rPr>
        <w:t>turnkey-vault.ts     # uses SignerProvider</w:t>
      </w:r>
    </w:p>
    <w:p>
      <w:pPr>
        <w:pStyle w:val="PreformattedText"/>
        <w:bidi w:val="0"/>
        <w:jc w:val="left"/>
        <w:rPr/>
      </w:pPr>
      <w:r>
        <w:rPr>
          <w:rStyle w:val="SourceText"/>
        </w:rPr>
        <w:t xml:space="preserve">│   │   └── </w:t>
      </w:r>
      <w:r>
        <w:rPr>
          <w:rStyle w:val="SourceText"/>
        </w:rPr>
        <w:t>providers/</w:t>
      </w:r>
    </w:p>
    <w:p>
      <w:pPr>
        <w:pStyle w:val="PreformattedText"/>
        <w:bidi w:val="0"/>
        <w:jc w:val="left"/>
        <w:rPr/>
      </w:pPr>
      <w:r>
        <w:rPr>
          <w:rStyle w:val="SourceText"/>
        </w:rPr>
        <w:t xml:space="preserve">│   │       ├── </w:t>
      </w:r>
      <w:r>
        <w:rPr>
          <w:rStyle w:val="SourceText"/>
        </w:rPr>
        <w:t>signer-provider.ts</w:t>
      </w:r>
    </w:p>
    <w:p>
      <w:pPr>
        <w:pStyle w:val="PreformattedText"/>
        <w:bidi w:val="0"/>
        <w:jc w:val="left"/>
        <w:rPr/>
      </w:pPr>
      <w:r>
        <w:rPr>
          <w:rStyle w:val="SourceText"/>
        </w:rPr>
        <w:t xml:space="preserve">│   │       └── </w:t>
      </w:r>
      <w:r>
        <w:rPr>
          <w:rStyle w:val="SourceText"/>
        </w:rPr>
        <w:t>turnkey.provider.ts</w:t>
      </w:r>
    </w:p>
    <w:p>
      <w:pPr>
        <w:pStyle w:val="PreformattedText"/>
        <w:bidi w:val="0"/>
        <w:jc w:val="left"/>
        <w:rPr/>
      </w:pPr>
      <w:r>
        <w:rPr>
          <w:rStyle w:val="SourceText"/>
        </w:rPr>
        <w:t xml:space="preserve">│   ├── </w:t>
      </w:r>
      <w:r>
        <w:rPr>
          <w:rStyle w:val="SourceText"/>
        </w:rPr>
        <w:t>sdk/</w:t>
      </w:r>
    </w:p>
    <w:p>
      <w:pPr>
        <w:pStyle w:val="PreformattedText"/>
        <w:bidi w:val="0"/>
        <w:jc w:val="left"/>
        <w:rPr/>
      </w:pPr>
      <w:r>
        <w:rPr>
          <w:rStyle w:val="SourceText"/>
        </w:rPr>
        <w:t xml:space="preserve">│   │   ├── </w:t>
      </w:r>
      <w:r>
        <w:rPr>
          <w:rStyle w:val="SourceText"/>
        </w:rPr>
        <w:t>vault-wallet-adapter.ts  # InternalWalletPort bridge</w:t>
      </w:r>
    </w:p>
    <w:p>
      <w:pPr>
        <w:pStyle w:val="PreformattedText"/>
        <w:bidi w:val="0"/>
        <w:jc w:val="left"/>
        <w:rPr/>
      </w:pPr>
      <w:r>
        <w:rPr>
          <w:rStyle w:val="SourceText"/>
        </w:rPr>
        <w:t xml:space="preserve">│   │   ├── </w:t>
      </w:r>
      <w:r>
        <w:rPr>
          <w:rStyle w:val="SourceText"/>
        </w:rPr>
        <w:t>api-key-fetch.ts         # fetchImpl injecting X-API-Key</w:t>
      </w:r>
    </w:p>
    <w:p>
      <w:pPr>
        <w:pStyle w:val="PreformattedText"/>
        <w:bidi w:val="0"/>
        <w:jc w:val="left"/>
        <w:rPr/>
      </w:pPr>
      <w:r>
        <w:rPr>
          <w:rStyle w:val="SourceText"/>
        </w:rPr>
        <w:t xml:space="preserve">│   │   └── </w:t>
      </w:r>
      <w:r>
        <w:rPr>
          <w:rStyle w:val="SourceText"/>
        </w:rPr>
        <w:t>wiring.ts                # picks SDK build functions</w:t>
      </w:r>
    </w:p>
    <w:p>
      <w:pPr>
        <w:pStyle w:val="PreformattedText"/>
        <w:bidi w:val="0"/>
        <w:jc w:val="left"/>
        <w:rPr/>
      </w:pPr>
      <w:r>
        <w:rPr>
          <w:rStyle w:val="SourceText"/>
        </w:rPr>
        <w:t xml:space="preserve">│   ├── </w:t>
      </w:r>
      <w:r>
        <w:rPr>
          <w:rStyle w:val="SourceText"/>
        </w:rPr>
        <w:t>db/</w:t>
      </w:r>
    </w:p>
    <w:p>
      <w:pPr>
        <w:pStyle w:val="PreformattedText"/>
        <w:bidi w:val="0"/>
        <w:jc w:val="left"/>
        <w:rPr/>
      </w:pPr>
      <w:r>
        <w:rPr>
          <w:rStyle w:val="SourceText"/>
        </w:rPr>
        <w:t xml:space="preserve">│   │   ├── </w:t>
      </w:r>
      <w:r>
        <w:rPr>
          <w:rStyle w:val="SourceText"/>
        </w:rPr>
        <w:t>client.ts            # better-sqlite3 + drizzle, WAL</w:t>
      </w:r>
    </w:p>
    <w:p>
      <w:pPr>
        <w:pStyle w:val="PreformattedText"/>
        <w:bidi w:val="0"/>
        <w:jc w:val="left"/>
        <w:rPr/>
      </w:pPr>
      <w:r>
        <w:rPr>
          <w:rStyle w:val="SourceText"/>
        </w:rPr>
        <w:t xml:space="preserve">│   │   ├── </w:t>
      </w:r>
      <w:r>
        <w:rPr>
          <w:rStyle w:val="SourceText"/>
        </w:rPr>
        <w:t>schema.ts</w:t>
      </w:r>
    </w:p>
    <w:p>
      <w:pPr>
        <w:pStyle w:val="PreformattedText"/>
        <w:bidi w:val="0"/>
        <w:jc w:val="left"/>
        <w:rPr/>
      </w:pPr>
      <w:r>
        <w:rPr>
          <w:rStyle w:val="SourceText"/>
        </w:rPr>
        <w:t xml:space="preserve">│   │   ├── </w:t>
      </w:r>
      <w:r>
        <w:rPr>
          <w:rStyle w:val="SourceText"/>
        </w:rPr>
        <w:t>repositories/</w:t>
      </w:r>
    </w:p>
    <w:p>
      <w:pPr>
        <w:pStyle w:val="PreformattedText"/>
        <w:bidi w:val="0"/>
        <w:jc w:val="left"/>
        <w:rPr/>
      </w:pPr>
      <w:r>
        <w:rPr>
          <w:rStyle w:val="SourceText"/>
        </w:rPr>
        <w:t xml:space="preserve">│   │   └── </w:t>
      </w:r>
      <w:r>
        <w:rPr>
          <w:rStyle w:val="SourceText"/>
        </w:rPr>
        <w:t>migrations/</w:t>
      </w:r>
    </w:p>
    <w:p>
      <w:pPr>
        <w:pStyle w:val="PreformattedText"/>
        <w:bidi w:val="0"/>
        <w:jc w:val="left"/>
        <w:rPr/>
      </w:pPr>
      <w:r>
        <w:rPr>
          <w:rStyle w:val="SourceText"/>
        </w:rPr>
        <w:t xml:space="preserve">│   ├── </w:t>
      </w:r>
      <w:r>
        <w:rPr>
          <w:rStyle w:val="SourceText"/>
        </w:rPr>
        <w:t>crypto/</w:t>
      </w:r>
    </w:p>
    <w:p>
      <w:pPr>
        <w:pStyle w:val="PreformattedText"/>
        <w:bidi w:val="0"/>
        <w:jc w:val="left"/>
        <w:rPr/>
      </w:pPr>
      <w:r>
        <w:rPr>
          <w:rStyle w:val="SourceText"/>
        </w:rPr>
        <w:t xml:space="preserve">│   │   └── </w:t>
      </w:r>
      <w:r>
        <w:rPr>
          <w:rStyle w:val="SourceText"/>
        </w:rPr>
        <w:t>proxy-address.ts     # CREATE2 derivation (viem)</w:t>
      </w:r>
    </w:p>
    <w:p>
      <w:pPr>
        <w:pStyle w:val="PreformattedText"/>
        <w:bidi w:val="0"/>
        <w:jc w:val="left"/>
        <w:rPr/>
      </w:pPr>
      <w:r>
        <w:rPr>
          <w:rStyle w:val="SourceText"/>
        </w:rPr>
        <w:t xml:space="preserve">│   ├── </w:t>
      </w:r>
      <w:r>
        <w:rPr>
          <w:rStyle w:val="SourceText"/>
        </w:rPr>
        <w:t>observability/</w:t>
      </w:r>
    </w:p>
    <w:p>
      <w:pPr>
        <w:pStyle w:val="PreformattedText"/>
        <w:bidi w:val="0"/>
        <w:jc w:val="left"/>
        <w:rPr/>
      </w:pPr>
      <w:r>
        <w:rPr>
          <w:rStyle w:val="SourceText"/>
        </w:rPr>
        <w:t xml:space="preserve">│   │   ├── </w:t>
      </w:r>
      <w:r>
        <w:rPr>
          <w:rStyle w:val="SourceText"/>
        </w:rPr>
        <w:t>log.ts               # JSON console logging + redaction</w:t>
      </w:r>
    </w:p>
    <w:p>
      <w:pPr>
        <w:pStyle w:val="PreformattedText"/>
        <w:bidi w:val="0"/>
        <w:jc w:val="left"/>
        <w:rPr/>
      </w:pPr>
      <w:r>
        <w:rPr>
          <w:rStyle w:val="SourceText"/>
        </w:rPr>
        <w:t xml:space="preserve">│   │   └── </w:t>
      </w:r>
      <w:r>
        <w:rPr>
          <w:rStyle w:val="SourceText"/>
        </w:rPr>
        <w:t>audit.ts</w:t>
      </w:r>
    </w:p>
    <w:p>
      <w:pPr>
        <w:pStyle w:val="PreformattedText"/>
        <w:bidi w:val="0"/>
        <w:jc w:val="left"/>
        <w:rPr/>
      </w:pPr>
      <w:r>
        <w:rPr>
          <w:rStyle w:val="SourceText"/>
        </w:rPr>
        <w:t xml:space="preserve">│   └── </w:t>
      </w:r>
      <w:r>
        <w:rPr>
          <w:rStyle w:val="SourceText"/>
        </w:rPr>
        <w:t>startup/</w:t>
      </w:r>
    </w:p>
    <w:p>
      <w:pPr>
        <w:pStyle w:val="PreformattedText"/>
        <w:bidi w:val="0"/>
        <w:jc w:val="left"/>
        <w:rPr/>
      </w:pPr>
      <w:r>
        <w:rPr>
          <w:rStyle w:val="SourceText"/>
        </w:rPr>
        <w:t xml:space="preserve">│       ├── </w:t>
      </w:r>
      <w:r>
        <w:rPr>
          <w:rStyle w:val="SourceText"/>
        </w:rPr>
        <w:t>bootstrap.ts         # rehydrate vault + directory from the volume</w:t>
      </w:r>
    </w:p>
    <w:p>
      <w:pPr>
        <w:pStyle w:val="PreformattedText"/>
        <w:bidi w:val="0"/>
        <w:jc w:val="left"/>
        <w:rPr/>
      </w:pPr>
      <w:r>
        <w:rPr>
          <w:rStyle w:val="SourceText"/>
        </w:rPr>
        <w:t xml:space="preserve">│       ├── </w:t>
      </w:r>
      <w:r>
        <w:rPr>
          <w:rStyle w:val="SourceText"/>
        </w:rPr>
        <w:t>self-check.ts        # EIP-712 domain digest check</w:t>
      </w:r>
    </w:p>
    <w:p>
      <w:pPr>
        <w:pStyle w:val="PreformattedText"/>
        <w:bidi w:val="0"/>
        <w:jc w:val="left"/>
        <w:rPr/>
      </w:pPr>
      <w:r>
        <w:rPr>
          <w:rStyle w:val="SourceText"/>
        </w:rPr>
        <w:t xml:space="preserve">│       └── </w:t>
      </w:r>
      <w:r>
        <w:rPr>
          <w:rStyle w:val="SourceText"/>
        </w:rPr>
        <w:t>shutdown.ts          # SIGTERM: drain, close DB, WAL checkpoint</w:t>
      </w:r>
    </w:p>
    <w:p>
      <w:pPr>
        <w:pStyle w:val="PreformattedText"/>
        <w:bidi w:val="0"/>
        <w:jc w:val="left"/>
        <w:rPr/>
      </w:pPr>
      <w:r>
        <w:rPr>
          <w:rStyle w:val="SourceText"/>
        </w:rPr>
        <w:t xml:space="preserve">├── </w:t>
      </w:r>
      <w:r>
        <w:rPr>
          <w:rStyle w:val="SourceText"/>
        </w:rPr>
        <w:t>vendor/</w:t>
      </w:r>
    </w:p>
    <w:p>
      <w:pPr>
        <w:pStyle w:val="PreformattedText"/>
        <w:bidi w:val="0"/>
        <w:jc w:val="left"/>
        <w:rPr/>
      </w:pPr>
      <w:r>
        <w:rPr>
          <w:rStyle w:val="SourceText"/>
        </w:rPr>
        <w:t xml:space="preserve">│   └── </w:t>
      </w:r>
      <w:r>
        <w:rPr>
          <w:rStyle w:val="SourceText"/>
        </w:rPr>
        <w:t>dpm-sdk/                 # git submodule (built in the image)</w:t>
      </w:r>
    </w:p>
    <w:p>
      <w:pPr>
        <w:pStyle w:val="PreformattedText"/>
        <w:bidi w:val="0"/>
        <w:jc w:val="left"/>
        <w:rPr/>
      </w:pPr>
      <w:r>
        <w:rPr>
          <w:rStyle w:val="SourceText"/>
        </w:rPr>
        <w:t xml:space="preserve">├── </w:t>
      </w:r>
      <w:r>
        <w:rPr>
          <w:rStyle w:val="SourceText"/>
        </w:rPr>
        <w:t>Dockerfile</w:t>
      </w:r>
    </w:p>
    <w:p>
      <w:pPr>
        <w:pStyle w:val="PreformattedText"/>
        <w:bidi w:val="0"/>
        <w:jc w:val="left"/>
        <w:rPr/>
      </w:pPr>
      <w:r>
        <w:rPr>
          <w:rStyle w:val="SourceText"/>
        </w:rPr>
        <w:t xml:space="preserve">├── </w:t>
      </w:r>
      <w:r>
        <w:rPr>
          <w:rStyle w:val="SourceText"/>
        </w:rPr>
        <w:t>docker-compose.yml</w:t>
      </w:r>
    </w:p>
    <w:p>
      <w:pPr>
        <w:pStyle w:val="PreformattedText"/>
        <w:bidi w:val="0"/>
        <w:jc w:val="left"/>
        <w:rPr/>
      </w:pPr>
      <w:r>
        <w:rPr>
          <w:rStyle w:val="SourceText"/>
        </w:rPr>
        <w:t xml:space="preserve">├── </w:t>
      </w:r>
      <w:r>
        <w:rPr>
          <w:rStyle w:val="SourceText"/>
        </w:rPr>
        <w:t>.env.example</w:t>
      </w:r>
    </w:p>
    <w:p>
      <w:pPr>
        <w:pStyle w:val="PreformattedText"/>
        <w:bidi w:val="0"/>
        <w:jc w:val="left"/>
        <w:rPr/>
      </w:pPr>
      <w:r>
        <w:rPr>
          <w:rStyle w:val="SourceText"/>
        </w:rPr>
        <w:t xml:space="preserve">├── </w:t>
      </w:r>
      <w:r>
        <w:rPr>
          <w:rStyle w:val="SourceText"/>
        </w:rPr>
        <w:t>drizzle.config.ts</w:t>
      </w:r>
    </w:p>
    <w:p>
      <w:pPr>
        <w:pStyle w:val="PreformattedText"/>
        <w:bidi w:val="0"/>
        <w:jc w:val="left"/>
        <w:rPr/>
      </w:pPr>
      <w:r>
        <w:rPr>
          <w:rStyle w:val="SourceText"/>
        </w:rPr>
        <w:t xml:space="preserve">├── </w:t>
      </w:r>
      <w:r>
        <w:rPr>
          <w:rStyle w:val="SourceText"/>
        </w:rPr>
        <w:t>tsconfig.json</w:t>
      </w:r>
    </w:p>
    <w:p>
      <w:pPr>
        <w:pStyle w:val="PreformattedText"/>
        <w:bidi w:val="0"/>
        <w:jc w:val="left"/>
        <w:rPr/>
      </w:pPr>
      <w:r>
        <w:rPr>
          <w:rStyle w:val="SourceText"/>
        </w:rPr>
        <w:t xml:space="preserve">├── </w:t>
      </w:r>
      <w:r>
        <w:rPr>
          <w:rStyle w:val="SourceText"/>
        </w:rPr>
        <w:t>package.json</w:t>
      </w:r>
    </w:p>
    <w:p>
      <w:pPr>
        <w:pStyle w:val="PreformattedText"/>
        <w:bidi w:val="0"/>
        <w:spacing w:before="0" w:after="283"/>
        <w:jc w:val="left"/>
        <w:rPr/>
      </w:pPr>
      <w:r>
        <w:rPr>
          <w:rStyle w:val="SourceText"/>
        </w:rPr>
        <w:t xml:space="preserve">└── </w:t>
      </w:r>
      <w:r>
        <w:rPr>
          <w:rStyle w:val="SourceText"/>
        </w:rPr>
        <w:t>README.md</w:t>
      </w:r>
    </w:p>
    <w:p>
      <w:pPr>
        <w:pStyle w:val="Heading3"/>
        <w:bidi w:val="0"/>
        <w:jc w:val="left"/>
        <w:rPr/>
      </w:pPr>
      <w:r>
        <w:rPr/>
        <w:t>15.1 Stack choices</w:t>
      </w:r>
    </w:p>
    <w:tbl>
      <w:tblPr>
        <w:tblW w:w="5000" w:type="pct"/>
        <w:jc w:val="left"/>
        <w:tblInd w:w="45" w:type="dxa"/>
        <w:tblLayout w:type="fixed"/>
        <w:tblCellMar>
          <w:top w:w="45" w:type="dxa"/>
          <w:left w:w="45" w:type="dxa"/>
          <w:bottom w:w="45" w:type="dxa"/>
          <w:right w:w="45" w:type="dxa"/>
        </w:tblCellMar>
      </w:tblPr>
      <w:tblGrid>
        <w:gridCol w:w="1641"/>
        <w:gridCol w:w="3406"/>
        <w:gridCol w:w="6292"/>
      </w:tblGrid>
      <w:tr>
        <w:trPr>
          <w:tblHeader w:val="true"/>
        </w:trPr>
        <w:tc>
          <w:tcPr>
            <w:tcW w:w="164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Concern</w:t>
            </w:r>
          </w:p>
        </w:tc>
        <w:tc>
          <w:tcPr>
            <w:tcW w:w="340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Choice</w:t>
            </w:r>
          </w:p>
        </w:tc>
        <w:tc>
          <w:tcPr>
            <w:tcW w:w="62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Rationale</w:t>
            </w:r>
          </w:p>
        </w:tc>
      </w:tr>
      <w:tr>
        <w:trPr/>
        <w:tc>
          <w:tcPr>
            <w:tcW w:w="16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Runtime</w:t>
            </w:r>
          </w:p>
        </w:tc>
        <w:tc>
          <w:tcPr>
            <w:tcW w:w="34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Node ≥ 22</w:t>
            </w:r>
          </w:p>
        </w:tc>
        <w:tc>
          <w:tcPr>
            <w:tcW w:w="62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Matches the workspace's </w:t>
            </w:r>
            <w:r>
              <w:rPr>
                <w:rStyle w:val="SourceText"/>
              </w:rPr>
              <w:t>engines.node &gt;= 20</w:t>
            </w:r>
            <w:r>
              <w:rPr/>
              <w:t>; 22 for current LTS.</w:t>
            </w:r>
          </w:p>
        </w:tc>
      </w:tr>
      <w:tr>
        <w:trPr/>
        <w:tc>
          <w:tcPr>
            <w:tcW w:w="16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Language/module</w:t>
            </w:r>
          </w:p>
        </w:tc>
        <w:tc>
          <w:tcPr>
            <w:tcW w:w="34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TypeScript 5, ESM (</w:t>
            </w:r>
            <w:r>
              <w:rPr>
                <w:rStyle w:val="SourceText"/>
              </w:rPr>
              <w:t>NodeNext</w:t>
            </w:r>
            <w:r>
              <w:rPr/>
              <w:t xml:space="preserve">), </w:t>
            </w:r>
            <w:r>
              <w:rPr>
                <w:rStyle w:val="SourceText"/>
              </w:rPr>
              <w:t>tsc</w:t>
            </w:r>
            <w:r>
              <w:rPr/>
              <w:t xml:space="preserve"> build</w:t>
            </w:r>
          </w:p>
        </w:tc>
        <w:tc>
          <w:tcPr>
            <w:tcW w:w="62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Matches prediction-gateway.</w:t>
            </w:r>
          </w:p>
        </w:tc>
      </w:tr>
      <w:tr>
        <w:trPr/>
        <w:tc>
          <w:tcPr>
            <w:tcW w:w="16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HTTP</w:t>
            </w:r>
          </w:p>
        </w:tc>
        <w:tc>
          <w:tcPr>
            <w:tcW w:w="34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Express 5</w:t>
            </w:r>
          </w:p>
        </w:tc>
        <w:tc>
          <w:tcPr>
            <w:tcW w:w="62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Matches prediction-gateway.</w:t>
            </w:r>
          </w:p>
        </w:tc>
      </w:tr>
      <w:tr>
        <w:trPr/>
        <w:tc>
          <w:tcPr>
            <w:tcW w:w="16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Validation</w:t>
            </w:r>
          </w:p>
        </w:tc>
        <w:tc>
          <w:tcPr>
            <w:tcW w:w="34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zod</w:t>
            </w:r>
          </w:p>
        </w:tc>
        <w:tc>
          <w:tcPr>
            <w:tcW w:w="62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Matches prediction-backoffice; strong DTO typing.</w:t>
            </w:r>
          </w:p>
        </w:tc>
      </w:tr>
      <w:tr>
        <w:trPr/>
        <w:tc>
          <w:tcPr>
            <w:tcW w:w="16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Crypto/ABI</w:t>
            </w:r>
          </w:p>
        </w:tc>
        <w:tc>
          <w:tcPr>
            <w:tcW w:w="34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viem v2</w:t>
            </w:r>
          </w:p>
        </w:tc>
        <w:tc>
          <w:tcPr>
            <w:tcW w:w="62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Matches dpm-sdk; reused via the vendored SDK.</w:t>
            </w:r>
          </w:p>
        </w:tc>
      </w:tr>
      <w:tr>
        <w:trPr/>
        <w:tc>
          <w:tcPr>
            <w:tcW w:w="16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DB</w:t>
            </w:r>
          </w:p>
        </w:tc>
        <w:tc>
          <w:tcPr>
            <w:tcW w:w="34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SQLite + </w:t>
            </w:r>
            <w:r>
              <w:rPr>
                <w:rStyle w:val="SourceText"/>
              </w:rPr>
              <w:t>better-sqlite3</w:t>
            </w:r>
            <w:r>
              <w:rPr/>
              <w:t xml:space="preserve"> + Drizzle</w:t>
            </w:r>
          </w:p>
        </w:tc>
        <w:tc>
          <w:tcPr>
            <w:tcW w:w="62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Embedded, single-file, in-project as required; Drizzle gives typed migrations.</w:t>
            </w:r>
          </w:p>
        </w:tc>
      </w:tr>
      <w:tr>
        <w:trPr/>
        <w:tc>
          <w:tcPr>
            <w:tcW w:w="164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Tests</w:t>
            </w:r>
          </w:p>
        </w:tc>
        <w:tc>
          <w:tcPr>
            <w:tcW w:w="340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vitest</w:t>
            </w:r>
          </w:p>
        </w:tc>
        <w:tc>
          <w:tcPr>
            <w:tcW w:w="629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Matches dpm-sdk.</w:t>
            </w:r>
          </w:p>
        </w:tc>
      </w:tr>
      <w:tr>
        <w:trPr/>
        <w:tc>
          <w:tcPr>
            <w:tcW w:w="164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Logging</w:t>
            </w:r>
          </w:p>
        </w:tc>
        <w:tc>
          <w:tcPr>
            <w:tcW w:w="340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JSON to stdout</w:t>
            </w:r>
          </w:p>
        </w:tc>
        <w:tc>
          <w:tcPr>
            <w:tcW w:w="629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Matches prediction-gateway </w:t>
            </w:r>
            <w:r>
              <w:rPr>
                <w:rStyle w:val="SourceText"/>
              </w:rPr>
              <w:t>log.ts</w:t>
            </w:r>
            <w:r>
              <w:rPr/>
              <w:t>.</w:t>
            </w:r>
          </w:p>
        </w:tc>
      </w:tr>
    </w:tbl>
    <w:p>
      <w:pPr>
        <w:pStyle w:val="Heading3"/>
        <w:bidi w:val="0"/>
        <w:jc w:val="left"/>
        <w:rPr/>
      </w:pPr>
      <w:r>
        <w:rPr/>
        <w:t>15.2 Vendoring dpm-sdk</w:t>
      </w:r>
    </w:p>
    <w:p>
      <w:pPr>
        <w:pStyle w:val="BodyText"/>
        <w:bidi w:val="0"/>
        <w:jc w:val="left"/>
        <w:rPr/>
      </w:pPr>
      <w:r>
        <w:rPr>
          <w:rStyle w:val="SourceText"/>
        </w:rPr>
        <w:t>dpm-sdk</w:t>
      </w:r>
      <w:r>
        <w:rPr/>
        <w:t xml:space="preserve"> is added as a git submodule under </w:t>
      </w:r>
      <w:r>
        <w:rPr>
          <w:rStyle w:val="SourceText"/>
        </w:rPr>
        <w:t>vendor/dpm-sdk</w:t>
      </w:r>
      <w:r>
        <w:rPr/>
        <w:t xml:space="preserve"> and referenced as a path/workspace dependency. The Docker build compiles it before the app so the required changes (</w:t>
      </w:r>
      <w:hyperlink w:anchor="7-dpm-sdk-integration-and-required-chang">
        <w:r>
          <w:rPr>
            <w:rStyle w:val="Hyperlink"/>
          </w:rPr>
          <w:t>Section 7</w:t>
        </w:r>
      </w:hyperlink>
      <w:r>
        <w:rPr/>
        <w:t xml:space="preserve">) and the app ship as one coordinated build with no npm release in between. The app imports from the SDK's server-only entry (or </w:t>
      </w:r>
      <w:r>
        <w:rPr>
          <w:rStyle w:val="SourceText"/>
        </w:rPr>
        <w:t>./lp</w:t>
      </w:r>
      <w:r>
        <w:rPr/>
        <w:t xml:space="preserve"> as fallback) to avoid pulling React/Privy/Magic into the container.</w:t>
      </w:r>
    </w:p>
    <w:p>
      <w:pPr>
        <w:pStyle w:val="HorizontalLine"/>
        <w:bidi w:val="0"/>
        <w:jc w:val="left"/>
        <w:rPr/>
      </w:pPr>
      <w:r>
        <w:rPr/>
      </w:r>
    </w:p>
    <w:p>
      <w:pPr>
        <w:pStyle w:val="Heading2"/>
        <w:bidi w:val="0"/>
        <w:jc w:val="left"/>
        <w:rPr/>
      </w:pPr>
      <w:r>
        <w:rPr/>
        <w:t>16. Configuration</w:t>
      </w:r>
    </w:p>
    <w:p>
      <w:pPr>
        <w:pStyle w:val="BodyText"/>
        <w:bidi w:val="0"/>
        <w:jc w:val="left"/>
        <w:rPr/>
      </w:pPr>
      <w:r>
        <w:rPr/>
        <w:t>All configuration is via environment variables, parsed and validated at boot (missing required values throw before the server binds).</w:t>
      </w:r>
    </w:p>
    <w:tbl>
      <w:tblPr>
        <w:tblW w:w="5000" w:type="pct"/>
        <w:jc w:val="left"/>
        <w:tblInd w:w="45" w:type="dxa"/>
        <w:tblLayout w:type="fixed"/>
        <w:tblCellMar>
          <w:top w:w="45" w:type="dxa"/>
          <w:left w:w="45" w:type="dxa"/>
          <w:bottom w:w="45" w:type="dxa"/>
          <w:right w:w="45" w:type="dxa"/>
        </w:tblCellMar>
      </w:tblPr>
      <w:tblGrid>
        <w:gridCol w:w="2724"/>
        <w:gridCol w:w="1362"/>
        <w:gridCol w:w="1727"/>
        <w:gridCol w:w="5526"/>
      </w:tblGrid>
      <w:tr>
        <w:trPr>
          <w:tblHeader w:val="true"/>
        </w:trPr>
        <w:tc>
          <w:tcPr>
            <w:tcW w:w="272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Variable</w:t>
            </w:r>
          </w:p>
        </w:tc>
        <w:tc>
          <w:tcPr>
            <w:tcW w:w="13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Required</w:t>
            </w:r>
          </w:p>
        </w:tc>
        <w:tc>
          <w:tcPr>
            <w:tcW w:w="17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Default</w:t>
            </w:r>
          </w:p>
        </w:tc>
        <w:tc>
          <w:tcPr>
            <w:tcW w:w="55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Description</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PORT</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8090</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HTTP listen port.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DPMW_VAULT_MODE</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mnemonic</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DPMW_MASTER_LOCATION</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internal</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internal</w:t>
            </w:r>
            <w:r>
              <w:rPr/>
              <w:t xml:space="preserve"> (vault holds the master key) or </w:t>
            </w:r>
            <w:r>
              <w:rPr>
                <w:rStyle w:val="SourceText"/>
              </w:rPr>
              <w:t>external</w:t>
            </w:r>
            <w:r>
              <w:rPr/>
              <w:t xml:space="preserve"> (third-party custody). See §6.6.</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DPMW_MASTER_ADDRESS</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external only</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Master wallet address when </w:t>
            </w:r>
            <w:r>
              <w:rPr>
                <w:rStyle w:val="SourceText"/>
              </w:rPr>
              <w:t>DPMW_MASTER_LOCATION=external</w:t>
            </w:r>
            <w:r>
              <w:rPr/>
              <w: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DPMW_MASTER_CUSTODIAN</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Optional custody label for an external master (e.g. </w:t>
            </w:r>
            <w:r>
              <w:rPr>
                <w:rStyle w:val="SourceText"/>
              </w:rPr>
              <w:t>fireblocks</w:t>
            </w:r>
            <w:r>
              <w:rPr/>
              <w:t xml:space="preserve">, </w:t>
            </w:r>
            <w:r>
              <w:rPr>
                <w:rStyle w:val="SourceText"/>
              </w:rPr>
              <w:t>qredo</w:t>
            </w:r>
            <w:r>
              <w:rPr/>
              <w:t xml:space="preserve">, </w:t>
            </w:r>
            <w:r>
              <w:rPr>
                <w:rStyle w:val="SourceText"/>
              </w:rPr>
              <w:t>metamask</w:t>
            </w:r>
            <w:r>
              <w:rPr/>
              <w: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DPMW_API_KEY</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Inbound API key from the operator gateway.</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DPMW_KEYSTORE_PASSPHRASE</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mnemonic mode</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scrypt passphrase for the encrypted mnemonic keystore.</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TURNKEY_API_PUBLIC_KEY</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mode</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API public key.</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TURNKEY_API_PRIVATE_KEY</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mode</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API private key.</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TURNKEY_ORGANIZATION_ID</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mode</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Turnkey organisation/sub-org id.</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RELAYER_BASE_URL</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Base URL of </w:t>
            </w:r>
            <w:r>
              <w:rPr>
                <w:rStyle w:val="SourceText"/>
              </w:rPr>
              <w:t>relayer-api</w:t>
            </w:r>
            <w:r>
              <w:rPr/>
              <w:t xml:space="preserve"> (for </w:t>
            </w:r>
            <w:r>
              <w:rPr>
                <w:rStyle w:val="SourceText"/>
              </w:rPr>
              <w:t>/relay-payload</w:t>
            </w:r>
            <w:r>
              <w:rPr/>
              <w: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RELAYER_API_KEY</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X-API-Key</w:t>
            </w:r>
            <w:r>
              <w:rPr/>
              <w:t xml:space="preserve"> sent to </w:t>
            </w:r>
            <w:r>
              <w:rPr>
                <w:rStyle w:val="SourceText"/>
              </w:rPr>
              <w:t>relayer-api</w:t>
            </w:r>
            <w:r>
              <w:rPr/>
              <w: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CHAIN_ID</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137</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Polygon mainnet.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EXCHANGE_DOMAIN_NAME</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 CTF Exchange</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EIP-712 order domain name; self-checked at boot.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CONTRACT_COLLATERAL</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USDC address.</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CONTRACT_CTF</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ConditionalTokens address.</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CONTRACT_CTF_EXCHANGE</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CTF Exchange (</w:t>
            </w:r>
            <w:r>
              <w:rPr>
                <w:rStyle w:val="SourceText"/>
              </w:rPr>
              <w:t>verifyingContract</w:t>
            </w:r>
            <w:r>
              <w:rPr/>
              <w:t>).</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CONTRACT_PROXY_FACTORY</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ProxyWalletFactory address.</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CONTRACT_PROXY_IMPL</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Proxy implementation (for CREATE2 derivation).</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CONTRACT_RELAY_HUB</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yes</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RelayHub address.</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OPERATIONAL_ADDRESS</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derived</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Cached operational wallet address (index 1).</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DPMW_EXTERNAL_ALLOWLIST</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Comma-separated external withdrawal destinations.</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DPMW_APPROVER_KEYS</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Comma-separated approver tokens for dual control.</w:t>
            </w:r>
          </w:p>
        </w:tc>
      </w:tr>
      <w:tr>
        <w:trPr/>
        <w:tc>
          <w:tcPr>
            <w:tcW w:w="272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DATABASE_PATH</w:t>
            </w:r>
          </w:p>
        </w:tc>
        <w:tc>
          <w:tcPr>
            <w:tcW w:w="136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/data/dpmw.sqlite</w:t>
            </w:r>
          </w:p>
        </w:tc>
        <w:tc>
          <w:tcPr>
            <w:tcW w:w="552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SQLite file on the mounted volume.</w:t>
            </w:r>
          </w:p>
        </w:tc>
      </w:tr>
      <w:tr>
        <w:trPr/>
        <w:tc>
          <w:tcPr>
            <w:tcW w:w="272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LOG_LEVEL</w:t>
            </w:r>
          </w:p>
        </w:tc>
        <w:tc>
          <w:tcPr>
            <w:tcW w:w="136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w:t>
            </w:r>
          </w:p>
        </w:tc>
        <w:tc>
          <w:tcPr>
            <w:tcW w:w="172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info</w:t>
            </w:r>
          </w:p>
        </w:tc>
        <w:tc>
          <w:tcPr>
            <w:tcW w:w="552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debug</w:t>
            </w:r>
          </w:p>
        </w:tc>
      </w:tr>
    </w:tbl>
    <w:p>
      <w:pPr>
        <w:pStyle w:val="BodyText"/>
        <w:bidi w:val="0"/>
        <w:jc w:val="left"/>
        <w:rPr/>
      </w:pPr>
      <w:r>
        <w:rPr/>
        <w:t xml:space="preserve">The six </w:t>
      </w:r>
      <w:r>
        <w:rPr>
          <w:rStyle w:val="SourceText"/>
        </w:rPr>
        <w:t>CONTRACT_*</w:t>
      </w:r>
      <w:r>
        <w:rPr/>
        <w:t xml:space="preserve"> values plus </w:t>
      </w:r>
      <w:r>
        <w:rPr>
          <w:rStyle w:val="SourceText"/>
        </w:rPr>
        <w:t>CHAIN_ID</w:t>
      </w:r>
      <w:r>
        <w:rPr/>
        <w:t xml:space="preserve"> are exactly what a </w:t>
      </w:r>
      <w:r>
        <w:rPr>
          <w:rStyle w:val="SourceText"/>
        </w:rPr>
        <w:t>GET /contract-info</w:t>
      </w:r>
      <w:r>
        <w:rPr/>
        <w:t xml:space="preserve"> call would return; supplying them as config removes that outbound dependency.</w:t>
      </w:r>
    </w:p>
    <w:p>
      <w:pPr>
        <w:pStyle w:val="HorizontalLine"/>
        <w:bidi w:val="0"/>
        <w:jc w:val="left"/>
        <w:rPr/>
      </w:pPr>
      <w:r>
        <w:rPr/>
      </w:r>
    </w:p>
    <w:p>
      <w:pPr>
        <w:pStyle w:val="Heading2"/>
        <w:bidi w:val="0"/>
        <w:jc w:val="left"/>
        <w:rPr/>
      </w:pPr>
      <w:r>
        <w:rPr/>
        <w:t>17. Docker and operations</w:t>
      </w:r>
    </w:p>
    <w:p>
      <w:pPr>
        <w:pStyle w:val="Heading3"/>
        <w:bidi w:val="0"/>
        <w:jc w:val="left"/>
        <w:rPr/>
      </w:pPr>
      <w:r>
        <w:rPr/>
        <w:t>17.1 Image</w:t>
      </w:r>
    </w:p>
    <w:p>
      <w:pPr>
        <w:pStyle w:val="BodyText"/>
        <w:bidi w:val="0"/>
        <w:jc w:val="left"/>
        <w:rPr/>
      </w:pPr>
      <w:r>
        <w:rPr/>
        <w:t xml:space="preserve">Multi-stage Alpine build (Node 22), building the vendored SDK first, running as a non-root user, with </w:t>
      </w:r>
      <w:r>
        <w:rPr>
          <w:rStyle w:val="SourceText"/>
        </w:rPr>
        <w:t>better-sqlite3</w:t>
      </w:r>
      <w:r>
        <w:rPr/>
        <w:t xml:space="preserve"> compiled against the runtime.</w:t>
      </w:r>
    </w:p>
    <w:p>
      <w:pPr>
        <w:pStyle w:val="PreformattedText"/>
        <w:bidi w:val="0"/>
        <w:jc w:val="left"/>
        <w:rPr/>
      </w:pPr>
      <w:r>
        <w:rPr>
          <w:rStyle w:val="SourceText"/>
        </w:rPr>
        <w:t># ---- build ----</w:t>
      </w:r>
    </w:p>
    <w:p>
      <w:pPr>
        <w:pStyle w:val="PreformattedText"/>
        <w:bidi w:val="0"/>
        <w:jc w:val="left"/>
        <w:rPr/>
      </w:pPr>
      <w:r>
        <w:rPr>
          <w:rStyle w:val="SourceText"/>
        </w:rPr>
        <w:t>FROM node:22-alpine AS build</w:t>
      </w:r>
    </w:p>
    <w:p>
      <w:pPr>
        <w:pStyle w:val="PreformattedText"/>
        <w:bidi w:val="0"/>
        <w:jc w:val="left"/>
        <w:rPr/>
      </w:pPr>
      <w:r>
        <w:rPr>
          <w:rStyle w:val="SourceText"/>
        </w:rPr>
        <w:t>RUN apk add --no-cache python3 make g++   # better-sqlite3 native build</w:t>
      </w:r>
    </w:p>
    <w:p>
      <w:pPr>
        <w:pStyle w:val="PreformattedText"/>
        <w:bidi w:val="0"/>
        <w:jc w:val="left"/>
        <w:rPr/>
      </w:pPr>
      <w:r>
        <w:rPr>
          <w:rStyle w:val="SourceText"/>
        </w:rPr>
        <w:t>WORKDIR /app</w:t>
      </w:r>
    </w:p>
    <w:p>
      <w:pPr>
        <w:pStyle w:val="PreformattedText"/>
        <w:bidi w:val="0"/>
        <w:jc w:val="left"/>
        <w:rPr/>
      </w:pPr>
      <w:r>
        <w:rPr>
          <w:rStyle w:val="SourceText"/>
        </w:rPr>
        <w:t>COPY vendor/dpm-sdk ./vendor/dpm-sdk</w:t>
      </w:r>
    </w:p>
    <w:p>
      <w:pPr>
        <w:pStyle w:val="PreformattedText"/>
        <w:bidi w:val="0"/>
        <w:jc w:val="left"/>
        <w:rPr/>
      </w:pPr>
      <w:r>
        <w:rPr>
          <w:rStyle w:val="SourceText"/>
        </w:rPr>
        <w:t>RUN cd vendor/dpm-sdk &amp;&amp; npm ci &amp;&amp; npm run build</w:t>
      </w:r>
    </w:p>
    <w:p>
      <w:pPr>
        <w:pStyle w:val="PreformattedText"/>
        <w:bidi w:val="0"/>
        <w:jc w:val="left"/>
        <w:rPr/>
      </w:pPr>
      <w:r>
        <w:rPr>
          <w:rStyle w:val="SourceText"/>
        </w:rPr>
        <w:t>COPY package*.json ./</w:t>
      </w:r>
    </w:p>
    <w:p>
      <w:pPr>
        <w:pStyle w:val="PreformattedText"/>
        <w:bidi w:val="0"/>
        <w:jc w:val="left"/>
        <w:rPr/>
      </w:pPr>
      <w:r>
        <w:rPr>
          <w:rStyle w:val="SourceText"/>
        </w:rPr>
        <w:t>RUN npm ci</w:t>
      </w:r>
    </w:p>
    <w:p>
      <w:pPr>
        <w:pStyle w:val="PreformattedText"/>
        <w:bidi w:val="0"/>
        <w:jc w:val="left"/>
        <w:rPr/>
      </w:pPr>
      <w:r>
        <w:rPr>
          <w:rStyle w:val="SourceText"/>
        </w:rPr>
        <w:t>COPY . .</w:t>
      </w:r>
    </w:p>
    <w:p>
      <w:pPr>
        <w:pStyle w:val="PreformattedText"/>
        <w:bidi w:val="0"/>
        <w:jc w:val="left"/>
        <w:rPr/>
      </w:pPr>
      <w:r>
        <w:rPr>
          <w:rStyle w:val="SourceText"/>
        </w:rPr>
        <w:t>RUN npm run build</w:t>
      </w:r>
    </w:p>
    <w:p>
      <w:pPr>
        <w:pStyle w:val="PreformattedText"/>
        <w:bidi w:val="0"/>
        <w:jc w:val="left"/>
        <w:rPr/>
      </w:pPr>
      <w:r>
        <w:rPr/>
      </w:r>
    </w:p>
    <w:p>
      <w:pPr>
        <w:pStyle w:val="PreformattedText"/>
        <w:bidi w:val="0"/>
        <w:jc w:val="left"/>
        <w:rPr/>
      </w:pPr>
      <w:r>
        <w:rPr>
          <w:rStyle w:val="SourceText"/>
        </w:rPr>
        <w:t># ---- runtime ----</w:t>
      </w:r>
    </w:p>
    <w:p>
      <w:pPr>
        <w:pStyle w:val="PreformattedText"/>
        <w:bidi w:val="0"/>
        <w:jc w:val="left"/>
        <w:rPr/>
      </w:pPr>
      <w:r>
        <w:rPr>
          <w:rStyle w:val="SourceText"/>
        </w:rPr>
        <w:t>FROM node:22-alpine AS runtime</w:t>
      </w:r>
    </w:p>
    <w:p>
      <w:pPr>
        <w:pStyle w:val="PreformattedText"/>
        <w:bidi w:val="0"/>
        <w:jc w:val="left"/>
        <w:rPr/>
      </w:pPr>
      <w:r>
        <w:rPr>
          <w:rStyle w:val="SourceText"/>
        </w:rPr>
        <w:t>RUN apk add --no-cache tini</w:t>
      </w:r>
    </w:p>
    <w:p>
      <w:pPr>
        <w:pStyle w:val="PreformattedText"/>
        <w:bidi w:val="0"/>
        <w:jc w:val="left"/>
        <w:rPr/>
      </w:pPr>
      <w:r>
        <w:rPr>
          <w:rStyle w:val="SourceText"/>
        </w:rPr>
        <w:t>WORKDIR /app</w:t>
      </w:r>
    </w:p>
    <w:p>
      <w:pPr>
        <w:pStyle w:val="PreformattedText"/>
        <w:bidi w:val="0"/>
        <w:jc w:val="left"/>
        <w:rPr/>
      </w:pPr>
      <w:r>
        <w:rPr>
          <w:rStyle w:val="SourceText"/>
        </w:rPr>
        <w:t>ENV NODE_ENV=production</w:t>
      </w:r>
    </w:p>
    <w:p>
      <w:pPr>
        <w:pStyle w:val="PreformattedText"/>
        <w:bidi w:val="0"/>
        <w:jc w:val="left"/>
        <w:rPr/>
      </w:pPr>
      <w:r>
        <w:rPr>
          <w:rStyle w:val="SourceText"/>
        </w:rPr>
        <w:t>COPY --from=build /app/node_modules ./node_modules</w:t>
      </w:r>
    </w:p>
    <w:p>
      <w:pPr>
        <w:pStyle w:val="PreformattedText"/>
        <w:bidi w:val="0"/>
        <w:jc w:val="left"/>
        <w:rPr/>
      </w:pPr>
      <w:r>
        <w:rPr>
          <w:rStyle w:val="SourceText"/>
        </w:rPr>
        <w:t>COPY --from=build /app/vendor/dpm-sdk/dist ./vendor/dpm-sdk/dist</w:t>
      </w:r>
    </w:p>
    <w:p>
      <w:pPr>
        <w:pStyle w:val="PreformattedText"/>
        <w:bidi w:val="0"/>
        <w:jc w:val="left"/>
        <w:rPr/>
      </w:pPr>
      <w:r>
        <w:rPr>
          <w:rStyle w:val="SourceText"/>
        </w:rPr>
        <w:t>COPY --from=build /app/dist ./dist</w:t>
      </w:r>
    </w:p>
    <w:p>
      <w:pPr>
        <w:pStyle w:val="PreformattedText"/>
        <w:bidi w:val="0"/>
        <w:jc w:val="left"/>
        <w:rPr/>
      </w:pPr>
      <w:r>
        <w:rPr>
          <w:rStyle w:val="SourceText"/>
        </w:rPr>
        <w:t>RUN addgroup -S dpmw &amp;&amp; adduser -S dpmw -G dpmw &amp;&amp; mkdir -p /data &amp;&amp; chown dpmw:dpmw /data</w:t>
      </w:r>
    </w:p>
    <w:p>
      <w:pPr>
        <w:pStyle w:val="PreformattedText"/>
        <w:bidi w:val="0"/>
        <w:jc w:val="left"/>
        <w:rPr/>
      </w:pPr>
      <w:r>
        <w:rPr>
          <w:rStyle w:val="SourceText"/>
        </w:rPr>
        <w:t>USER dpmw</w:t>
      </w:r>
    </w:p>
    <w:p>
      <w:pPr>
        <w:pStyle w:val="PreformattedText"/>
        <w:bidi w:val="0"/>
        <w:jc w:val="left"/>
        <w:rPr/>
      </w:pPr>
      <w:r>
        <w:rPr>
          <w:rStyle w:val="SourceText"/>
        </w:rPr>
        <w:t>VOLUME ["/data"]</w:t>
      </w:r>
    </w:p>
    <w:p>
      <w:pPr>
        <w:pStyle w:val="PreformattedText"/>
        <w:bidi w:val="0"/>
        <w:jc w:val="left"/>
        <w:rPr/>
      </w:pPr>
      <w:r>
        <w:rPr>
          <w:rStyle w:val="SourceText"/>
        </w:rPr>
        <w:t>EXPOSE 8090</w:t>
      </w:r>
    </w:p>
    <w:p>
      <w:pPr>
        <w:pStyle w:val="PreformattedText"/>
        <w:bidi w:val="0"/>
        <w:jc w:val="left"/>
        <w:rPr/>
      </w:pPr>
      <w:r>
        <w:rPr>
          <w:rStyle w:val="SourceText"/>
        </w:rPr>
        <w:t>ENTRYPOINT ["/sbin/tini", "--"]</w:t>
      </w:r>
    </w:p>
    <w:p>
      <w:pPr>
        <w:pStyle w:val="PreformattedText"/>
        <w:bidi w:val="0"/>
        <w:spacing w:before="0" w:after="283"/>
        <w:jc w:val="left"/>
        <w:rPr/>
      </w:pPr>
      <w:r>
        <w:rPr>
          <w:rStyle w:val="SourceText"/>
        </w:rPr>
        <w:t>CMD ["node", "dist/index.js"]</w:t>
      </w:r>
    </w:p>
    <w:p>
      <w:pPr>
        <w:pStyle w:val="BlockQuotation"/>
        <w:bidi w:val="0"/>
        <w:jc w:val="left"/>
        <w:rPr/>
      </w:pPr>
      <w:r>
        <w:rPr/>
        <w:t xml:space="preserve">Native-module caveat: </w:t>
      </w:r>
      <w:r>
        <w:rPr>
          <w:rStyle w:val="SourceText"/>
        </w:rPr>
        <w:t>better-sqlite3</w:t>
      </w:r>
      <w:r>
        <w:rPr/>
        <w:t xml:space="preserve"> compiles a native addon. Building and running on the </w:t>
      </w:r>
      <w:r>
        <w:rPr>
          <w:rStyle w:val="Strong"/>
        </w:rPr>
        <w:t>same</w:t>
      </w:r>
      <w:r>
        <w:rPr/>
        <w:t xml:space="preserve"> Node major/Alpine base (as above) avoids ABI mismatches; a prebuilt binary is used when available.</w:t>
      </w:r>
    </w:p>
    <w:p>
      <w:pPr>
        <w:pStyle w:val="Heading3"/>
        <w:bidi w:val="0"/>
        <w:jc w:val="left"/>
        <w:rPr/>
      </w:pPr>
      <w:r>
        <w:rPr/>
        <w:t>17.2 Compose (operator convenience)</w:t>
      </w:r>
    </w:p>
    <w:p>
      <w:pPr>
        <w:pStyle w:val="PreformattedText"/>
        <w:bidi w:val="0"/>
        <w:jc w:val="left"/>
        <w:rPr/>
      </w:pPr>
      <w:r>
        <w:rPr>
          <w:rStyle w:val="SourceText"/>
        </w:rPr>
        <w:t>services:</w:t>
      </w:r>
    </w:p>
    <w:p>
      <w:pPr>
        <w:pStyle w:val="PreformattedText"/>
        <w:bidi w:val="0"/>
        <w:jc w:val="left"/>
        <w:rPr/>
      </w:pPr>
      <w:r>
        <w:rPr>
          <w:rStyle w:val="SourceText"/>
        </w:rPr>
        <w:t xml:space="preserve">  </w:t>
      </w:r>
      <w:r>
        <w:rPr>
          <w:rStyle w:val="SourceText"/>
        </w:rPr>
        <w:t>dpmw:</w:t>
      </w:r>
    </w:p>
    <w:p>
      <w:pPr>
        <w:pStyle w:val="PreformattedText"/>
        <w:bidi w:val="0"/>
        <w:jc w:val="left"/>
        <w:rPr/>
      </w:pPr>
      <w:r>
        <w:rPr>
          <w:rStyle w:val="SourceText"/>
        </w:rPr>
        <w:t xml:space="preserve">    </w:t>
      </w:r>
      <w:r>
        <w:rPr>
          <w:rStyle w:val="SourceText"/>
        </w:rPr>
        <w:t>build: .</w:t>
      </w:r>
    </w:p>
    <w:p>
      <w:pPr>
        <w:pStyle w:val="PreformattedText"/>
        <w:bidi w:val="0"/>
        <w:jc w:val="left"/>
        <w:rPr/>
      </w:pPr>
      <w:r>
        <w:rPr>
          <w:rStyle w:val="SourceText"/>
        </w:rPr>
        <w:t xml:space="preserve">    </w:t>
      </w:r>
      <w:r>
        <w:rPr>
          <w:rStyle w:val="SourceText"/>
        </w:rPr>
        <w:t>ports: ["8090:8090"]</w:t>
      </w:r>
    </w:p>
    <w:p>
      <w:pPr>
        <w:pStyle w:val="PreformattedText"/>
        <w:bidi w:val="0"/>
        <w:jc w:val="left"/>
        <w:rPr/>
      </w:pPr>
      <w:r>
        <w:rPr>
          <w:rStyle w:val="SourceText"/>
        </w:rPr>
        <w:t xml:space="preserve">    </w:t>
      </w:r>
      <w:r>
        <w:rPr>
          <w:rStyle w:val="SourceText"/>
        </w:rPr>
        <w:t>env_file: .env</w:t>
      </w:r>
    </w:p>
    <w:p>
      <w:pPr>
        <w:pStyle w:val="PreformattedText"/>
        <w:bidi w:val="0"/>
        <w:jc w:val="left"/>
        <w:rPr/>
      </w:pPr>
      <w:r>
        <w:rPr>
          <w:rStyle w:val="SourceText"/>
        </w:rPr>
        <w:t xml:space="preserve">    </w:t>
      </w:r>
      <w:r>
        <w:rPr>
          <w:rStyle w:val="SourceText"/>
        </w:rPr>
        <w:t># Named volume holding dpmw.sqlite plus its -wal/-shm sidecars.</w:t>
      </w:r>
    </w:p>
    <w:p>
      <w:pPr>
        <w:pStyle w:val="PreformattedText"/>
        <w:bidi w:val="0"/>
        <w:jc w:val="left"/>
        <w:rPr/>
      </w:pPr>
      <w:r>
        <w:rPr>
          <w:rStyle w:val="SourceText"/>
        </w:rPr>
        <w:t xml:space="preserve">    </w:t>
      </w:r>
      <w:r>
        <w:rPr>
          <w:rStyle w:val="SourceText"/>
        </w:rPr>
        <w:t># Mount the directory, not the file, and keep it on local disk (§14.3).</w:t>
      </w:r>
    </w:p>
    <w:p>
      <w:pPr>
        <w:pStyle w:val="PreformattedText"/>
        <w:bidi w:val="0"/>
        <w:jc w:val="left"/>
        <w:rPr/>
      </w:pPr>
      <w:r>
        <w:rPr>
          <w:rStyle w:val="SourceText"/>
        </w:rPr>
        <w:t xml:space="preserve">    </w:t>
      </w:r>
      <w:r>
        <w:rPr>
          <w:rStyle w:val="SourceText"/>
        </w:rPr>
        <w:t>volumes: ["dpmw-data:/data"]</w:t>
      </w:r>
    </w:p>
    <w:p>
      <w:pPr>
        <w:pStyle w:val="PreformattedText"/>
        <w:bidi w:val="0"/>
        <w:jc w:val="left"/>
        <w:rPr/>
      </w:pPr>
      <w:r>
        <w:rPr>
          <w:rStyle w:val="SourceText"/>
        </w:rPr>
        <w:t xml:space="preserve">    </w:t>
      </w:r>
      <w:r>
        <w:rPr>
          <w:rStyle w:val="SourceText"/>
        </w:rPr>
        <w:t>restart: unless-stopped</w:t>
      </w:r>
    </w:p>
    <w:p>
      <w:pPr>
        <w:pStyle w:val="PreformattedText"/>
        <w:bidi w:val="0"/>
        <w:jc w:val="left"/>
        <w:rPr/>
      </w:pPr>
      <w:r>
        <w:rPr>
          <w:rStyle w:val="SourceText"/>
        </w:rPr>
        <w:t xml:space="preserve">    </w:t>
      </w:r>
      <w:r>
        <w:rPr>
          <w:rStyle w:val="SourceText"/>
        </w:rPr>
        <w:t>stop_grace_period: 30s   # let in-flight signs finish and the WAL checkpoint</w:t>
      </w:r>
    </w:p>
    <w:p>
      <w:pPr>
        <w:pStyle w:val="PreformattedText"/>
        <w:bidi w:val="0"/>
        <w:jc w:val="left"/>
        <w:rPr/>
      </w:pPr>
      <w:r>
        <w:rPr>
          <w:rStyle w:val="SourceText"/>
        </w:rPr>
        <w:t xml:space="preserve">    </w:t>
      </w:r>
      <w:r>
        <w:rPr>
          <w:rStyle w:val="SourceText"/>
        </w:rPr>
        <w:t>healthcheck:</w:t>
      </w:r>
    </w:p>
    <w:p>
      <w:pPr>
        <w:pStyle w:val="PreformattedText"/>
        <w:bidi w:val="0"/>
        <w:jc w:val="left"/>
        <w:rPr/>
      </w:pPr>
      <w:r>
        <w:rPr>
          <w:rStyle w:val="SourceText"/>
        </w:rPr>
        <w:t xml:space="preserve">      </w:t>
      </w:r>
      <w:r>
        <w:rPr>
          <w:rStyle w:val="SourceText"/>
        </w:rPr>
        <w:t>test: ["CMD", "wget", "-qO-", "http://localhost:8090/v1/health"]</w:t>
      </w:r>
    </w:p>
    <w:p>
      <w:pPr>
        <w:pStyle w:val="PreformattedText"/>
        <w:bidi w:val="0"/>
        <w:jc w:val="left"/>
        <w:rPr/>
      </w:pPr>
      <w:r>
        <w:rPr>
          <w:rStyle w:val="SourceText"/>
        </w:rPr>
        <w:t xml:space="preserve">      </w:t>
      </w:r>
      <w:r>
        <w:rPr>
          <w:rStyle w:val="SourceText"/>
        </w:rPr>
        <w:t>interval: 30s</w:t>
      </w:r>
    </w:p>
    <w:p>
      <w:pPr>
        <w:pStyle w:val="PreformattedText"/>
        <w:bidi w:val="0"/>
        <w:jc w:val="left"/>
        <w:rPr/>
      </w:pPr>
      <w:r>
        <w:rPr>
          <w:rStyle w:val="SourceText"/>
        </w:rPr>
        <w:t xml:space="preserve">      </w:t>
      </w:r>
      <w:r>
        <w:rPr>
          <w:rStyle w:val="SourceText"/>
        </w:rPr>
        <w:t>timeout: 5s</w:t>
      </w:r>
    </w:p>
    <w:p>
      <w:pPr>
        <w:pStyle w:val="PreformattedText"/>
        <w:bidi w:val="0"/>
        <w:jc w:val="left"/>
        <w:rPr/>
      </w:pPr>
      <w:r>
        <w:rPr>
          <w:rStyle w:val="SourceText"/>
        </w:rPr>
        <w:t xml:space="preserve">      </w:t>
      </w:r>
      <w:r>
        <w:rPr>
          <w:rStyle w:val="SourceText"/>
        </w:rPr>
        <w:t>retries: 3</w:t>
      </w:r>
    </w:p>
    <w:p>
      <w:pPr>
        <w:pStyle w:val="PreformattedText"/>
        <w:bidi w:val="0"/>
        <w:jc w:val="left"/>
        <w:rPr/>
      </w:pPr>
      <w:r>
        <w:rPr>
          <w:rStyle w:val="SourceText"/>
        </w:rPr>
        <w:t>volumes:</w:t>
      </w:r>
    </w:p>
    <w:p>
      <w:pPr>
        <w:pStyle w:val="PreformattedText"/>
        <w:bidi w:val="0"/>
        <w:spacing w:before="0" w:after="283"/>
        <w:jc w:val="left"/>
        <w:rPr/>
      </w:pPr>
      <w:r>
        <w:rPr>
          <w:rStyle w:val="SourceText"/>
        </w:rPr>
        <w:t xml:space="preserve">  </w:t>
      </w:r>
      <w:r>
        <w:rPr>
          <w:rStyle w:val="SourceText"/>
        </w:rPr>
        <w:t>dpmw-data:      # survives `down`; destroyed only by `down -v`</w:t>
      </w:r>
    </w:p>
    <w:p>
      <w:pPr>
        <w:pStyle w:val="BlockQuotation"/>
        <w:bidi w:val="0"/>
        <w:jc w:val="left"/>
        <w:rPr/>
      </w:pPr>
      <w:r>
        <w:rPr/>
        <w:t>Do not scale this service beyond one replica — SQLite allows a single writer per database file (§14.3).</w:t>
      </w:r>
    </w:p>
    <w:p>
      <w:pPr>
        <w:pStyle w:val="Heading3"/>
        <w:bidi w:val="0"/>
        <w:jc w:val="left"/>
        <w:rPr/>
      </w:pPr>
      <w:r>
        <w:rPr/>
        <w:t>17.3 Health and readiness</w:t>
      </w:r>
    </w:p>
    <w:p>
      <w:pPr>
        <w:pStyle w:val="BodyText"/>
        <w:numPr>
          <w:ilvl w:val="0"/>
          <w:numId w:val="15"/>
        </w:numPr>
        <w:tabs>
          <w:tab w:val="clear" w:pos="1134"/>
          <w:tab w:val="left" w:pos="709" w:leader="none"/>
        </w:tabs>
        <w:bidi w:val="0"/>
        <w:spacing w:before="0" w:after="0"/>
        <w:ind w:hanging="283" w:left="709"/>
        <w:jc w:val="left"/>
        <w:rPr/>
      </w:pPr>
      <w:r>
        <w:rPr>
          <w:rStyle w:val="SourceText"/>
        </w:rPr>
        <w:t>GET /v1/health</w:t>
      </w:r>
      <w:r>
        <w:rPr/>
        <w:t xml:space="preserve"> (liveness) returns </w:t>
      </w:r>
      <w:r>
        <w:rPr>
          <w:rStyle w:val="SourceText"/>
        </w:rPr>
        <w:t>200</w:t>
      </w:r>
      <w:r>
        <w:rPr/>
        <w:t xml:space="preserve"> with </w:t>
      </w:r>
      <w:r>
        <w:rPr>
          <w:rStyle w:val="SourceText"/>
        </w:rPr>
        <w:t>{ status: "ok" }</w:t>
      </w:r>
      <w:r>
        <w:rPr/>
        <w:t xml:space="preserve"> once the process is up. </w:t>
      </w:r>
    </w:p>
    <w:p>
      <w:pPr>
        <w:pStyle w:val="BodyText"/>
        <w:numPr>
          <w:ilvl w:val="0"/>
          <w:numId w:val="15"/>
        </w:numPr>
        <w:tabs>
          <w:tab w:val="clear" w:pos="1134"/>
          <w:tab w:val="left" w:pos="709" w:leader="none"/>
        </w:tabs>
        <w:bidi w:val="0"/>
        <w:ind w:hanging="283" w:left="709"/>
        <w:jc w:val="left"/>
        <w:rPr/>
      </w:pPr>
      <w:r>
        <w:rPr/>
        <w:t xml:space="preserve">Readiness additionally checks vault health: mnemonic keystore decrypts, or Turnkey is reachable, and the DB is writable. Not ready until </w:t>
      </w:r>
      <w:r>
        <w:rPr>
          <w:rStyle w:val="SourceText"/>
        </w:rPr>
        <w:t>POST /v1/vault/init</w:t>
      </w:r>
      <w:r>
        <w:rPr/>
        <w:t xml:space="preserve"> has run at least once. </w:t>
      </w:r>
    </w:p>
    <w:p>
      <w:pPr>
        <w:pStyle w:val="Heading3"/>
        <w:bidi w:val="0"/>
        <w:jc w:val="left"/>
        <w:rPr/>
      </w:pPr>
      <w:r>
        <w:rPr/>
        <w:t>17.4 First-run</w:t>
      </w:r>
    </w:p>
    <w:p>
      <w:pPr>
        <w:pStyle w:val="BodyText"/>
        <w:numPr>
          <w:ilvl w:val="0"/>
          <w:numId w:val="16"/>
        </w:numPr>
        <w:tabs>
          <w:tab w:val="clear" w:pos="1134"/>
          <w:tab w:val="left" w:pos="709" w:leader="none"/>
        </w:tabs>
        <w:bidi w:val="0"/>
        <w:spacing w:before="0" w:after="0"/>
        <w:ind w:hanging="283" w:left="709"/>
        <w:jc w:val="left"/>
        <w:rPr/>
      </w:pPr>
      <w:r>
        <w:rPr/>
        <w:t xml:space="preserve">Operator sets env (mode, keys, contract addresses, and the master location — </w:t>
      </w:r>
      <w:r>
        <w:rPr>
          <w:rStyle w:val="SourceText"/>
        </w:rPr>
        <w:t>internal</w:t>
      </w:r>
      <w:r>
        <w:rPr/>
        <w:t xml:space="preserve">, or </w:t>
      </w:r>
      <w:r>
        <w:rPr>
          <w:rStyle w:val="SourceText"/>
        </w:rPr>
        <w:t>external</w:t>
      </w:r>
      <w:r>
        <w:rPr/>
        <w:t xml:space="preserve"> with </w:t>
      </w:r>
      <w:r>
        <w:rPr>
          <w:rStyle w:val="SourceText"/>
        </w:rPr>
        <w:t>DPMW_MASTER_ADDRESS</w:t>
      </w:r>
      <w:r>
        <w:rPr/>
        <w:t xml:space="preserve">). </w:t>
      </w:r>
    </w:p>
    <w:p>
      <w:pPr>
        <w:pStyle w:val="BodyText"/>
        <w:numPr>
          <w:ilvl w:val="0"/>
          <w:numId w:val="16"/>
        </w:numPr>
        <w:tabs>
          <w:tab w:val="clear" w:pos="1134"/>
          <w:tab w:val="left" w:pos="709" w:leader="none"/>
        </w:tabs>
        <w:bidi w:val="0"/>
        <w:spacing w:before="0" w:after="0"/>
        <w:ind w:hanging="283" w:left="709"/>
        <w:jc w:val="left"/>
        <w:rPr/>
      </w:pPr>
      <w:r>
        <w:rPr/>
        <w:t xml:space="preserve">Container boots, runs migrations, passes the EIP-712 self-check. </w:t>
      </w:r>
    </w:p>
    <w:p>
      <w:pPr>
        <w:pStyle w:val="BodyText"/>
        <w:numPr>
          <w:ilvl w:val="0"/>
          <w:numId w:val="16"/>
        </w:numPr>
        <w:tabs>
          <w:tab w:val="clear" w:pos="1134"/>
          <w:tab w:val="left" w:pos="709" w:leader="none"/>
        </w:tabs>
        <w:bidi w:val="0"/>
        <w:spacing w:before="0" w:after="0"/>
        <w:ind w:hanging="283" w:left="709"/>
        <w:jc w:val="left"/>
        <w:rPr/>
      </w:pPr>
      <w:r>
        <w:rPr/>
        <w:t xml:space="preserve">Operator calls </w:t>
      </w:r>
      <w:r>
        <w:rPr>
          <w:rStyle w:val="SourceText"/>
        </w:rPr>
        <w:t>POST /v1/vault/init</w:t>
      </w:r>
      <w:r>
        <w:rPr/>
        <w:t xml:space="preserve"> → internal master (index 0) is created and, in mnemonic mode, the encrypted keystore is written to the volume; an external master is recorded as non-signable (no key created). </w:t>
      </w:r>
    </w:p>
    <w:p>
      <w:pPr>
        <w:pStyle w:val="BodyText"/>
        <w:numPr>
          <w:ilvl w:val="0"/>
          <w:numId w:val="16"/>
        </w:numPr>
        <w:tabs>
          <w:tab w:val="clear" w:pos="1134"/>
          <w:tab w:val="left" w:pos="709" w:leader="none"/>
        </w:tabs>
        <w:bidi w:val="0"/>
        <w:spacing w:before="0" w:after="0"/>
        <w:ind w:hanging="283" w:left="709"/>
        <w:jc w:val="left"/>
        <w:rPr/>
      </w:pPr>
      <w:r>
        <w:rPr/>
        <w:t xml:space="preserve">Operator calls </w:t>
      </w:r>
      <w:r>
        <w:rPr>
          <w:rStyle w:val="SourceText"/>
        </w:rPr>
        <w:t>POST /v1/addresses</w:t>
      </w:r>
      <w:r>
        <w:rPr/>
        <w:t xml:space="preserve"> with </w:t>
      </w:r>
      <w:r>
        <w:rPr>
          <w:rStyle w:val="SourceText"/>
        </w:rPr>
        <w:t>role: "operational"</w:t>
      </w:r>
      <w:r>
        <w:rPr/>
        <w:t xml:space="preserve"> to create index 1. </w:t>
      </w:r>
    </w:p>
    <w:p>
      <w:pPr>
        <w:pStyle w:val="BodyText"/>
        <w:numPr>
          <w:ilvl w:val="0"/>
          <w:numId w:val="16"/>
        </w:numPr>
        <w:tabs>
          <w:tab w:val="clear" w:pos="1134"/>
          <w:tab w:val="left" w:pos="709" w:leader="none"/>
        </w:tabs>
        <w:bidi w:val="0"/>
        <w:ind w:hanging="283" w:left="709"/>
        <w:jc w:val="left"/>
        <w:rPr/>
      </w:pPr>
      <w:r>
        <w:rPr/>
        <w:t xml:space="preserve">Customer onboarding proceeds per </w:t>
      </w:r>
      <w:hyperlink w:anchor="11-onboarding-sequence">
        <w:r>
          <w:rPr>
            <w:rStyle w:val="Hyperlink"/>
          </w:rPr>
          <w:t>Section 11</w:t>
        </w:r>
      </w:hyperlink>
      <w:r>
        <w:rPr/>
        <w:t xml:space="preserve">. </w:t>
      </w:r>
    </w:p>
    <w:p>
      <w:pPr>
        <w:pStyle w:val="Heading3"/>
        <w:bidi w:val="0"/>
        <w:jc w:val="left"/>
        <w:rPr/>
      </w:pPr>
      <w:r>
        <w:rPr/>
        <w:t>17.5 Restart and cold-start recovery</w:t>
      </w:r>
    </w:p>
    <w:p>
      <w:pPr>
        <w:pStyle w:val="BodyText"/>
        <w:bidi w:val="0"/>
        <w:jc w:val="left"/>
        <w:rPr/>
      </w:pPr>
      <w:r>
        <w:rPr/>
        <w:t xml:space="preserve">On every subsequent boot the container rebuilds its entire working state from the volume. </w:t>
      </w:r>
      <w:r>
        <w:rPr>
          <w:rStyle w:val="Strong"/>
        </w:rPr>
        <w:t>Nothing is held only in memory between runs</w:t>
      </w:r>
      <w:r>
        <w:rPr/>
        <w:t xml:space="preserve">, and no step requires the operator to re-supply anything except the environment variables (crucially </w:t>
      </w:r>
      <w:r>
        <w:rPr>
          <w:rStyle w:val="SourceText"/>
        </w:rPr>
        <w:t>DPMW_KEYSTORE_PASSPHRASE</w:t>
      </w:r>
      <w:r>
        <w:rPr/>
        <w:t>, which is never written to disk).</w:t>
      </w:r>
    </w:p>
    <w:p>
      <w:pPr>
        <w:pStyle w:val="BodyText"/>
        <w:bidi w:val="0"/>
        <w:jc w:val="left"/>
        <w:rPr/>
      </w:pPr>
      <w:r>
        <w:rPr/>
        <w:drawing>
          <wp:inline distT="0" distB="0" distL="0" distR="0">
            <wp:extent cx="3438525" cy="8096250"/>
            <wp:effectExtent l="0" t="0" r="0" b="0"/>
            <wp:docPr id="5" name="Image5" descr="Cold-start recovery: the container rebuilds vault and directory state from the SQLite volume, failing fast on any mis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Cold-start recovery: the container rebuilds vault and directory state from the SQLite volume, failing fast on any mismatch"/>
                    <pic:cNvPicPr>
                      <a:picLocks noChangeAspect="1" noChangeArrowheads="1"/>
                    </pic:cNvPicPr>
                  </pic:nvPicPr>
                  <pic:blipFill>
                    <a:blip r:embed="rId6"/>
                    <a:stretch>
                      <a:fillRect/>
                    </a:stretch>
                  </pic:blipFill>
                  <pic:spPr bwMode="auto">
                    <a:xfrm>
                      <a:off x="0" y="0"/>
                      <a:ext cx="3438525" cy="8096250"/>
                    </a:xfrm>
                    <a:prstGeom prst="rect">
                      <a:avLst/>
                    </a:prstGeom>
                    <a:noFill/>
                  </pic:spPr>
                </pic:pic>
              </a:graphicData>
            </a:graphic>
          </wp:inline>
        </w:drawing>
      </w:r>
    </w:p>
    <w:p>
      <w:pPr>
        <w:pStyle w:val="BodyText"/>
        <w:bidi w:val="0"/>
        <w:jc w:val="left"/>
        <w:rPr/>
      </w:pPr>
      <w:r>
        <w:rPr>
          <w:rStyle w:val="SourceText"/>
        </w:rPr>
        <w:t>src/startup/bootstrap.ts</w:t>
      </w:r>
      <w:r>
        <w:rPr/>
        <w:t xml:space="preserve"> runs this sequence before the HTTP server binds:</w:t>
      </w:r>
    </w:p>
    <w:p>
      <w:pPr>
        <w:pStyle w:val="PreformattedText"/>
        <w:bidi w:val="0"/>
        <w:jc w:val="left"/>
        <w:rPr/>
      </w:pPr>
      <w:r>
        <w:rPr>
          <w:rStyle w:val="SourceText"/>
        </w:rPr>
        <w:t>export async function bootstrap(config: Config): Promise&lt;Runtime&gt; {</w:t>
      </w:r>
    </w:p>
    <w:p>
      <w:pPr>
        <w:pStyle w:val="PreformattedText"/>
        <w:bidi w:val="0"/>
        <w:jc w:val="left"/>
        <w:rPr/>
      </w:pPr>
      <w:r>
        <w:rPr>
          <w:rStyle w:val="SourceText"/>
        </w:rPr>
        <w:t xml:space="preserve">  </w:t>
      </w:r>
      <w:r>
        <w:rPr>
          <w:rStyle w:val="SourceText"/>
        </w:rPr>
        <w:t>const db = openDatabase(config.databasePath);   // pragmas from §14.3</w:t>
      </w:r>
    </w:p>
    <w:p>
      <w:pPr>
        <w:pStyle w:val="PreformattedText"/>
        <w:bidi w:val="0"/>
        <w:jc w:val="left"/>
        <w:rPr/>
      </w:pPr>
      <w:r>
        <w:rPr>
          <w:rStyle w:val="SourceText"/>
        </w:rPr>
        <w:t xml:space="preserve">  </w:t>
      </w:r>
      <w:r>
        <w:rPr>
          <w:rStyle w:val="SourceText"/>
        </w:rPr>
        <w:t>await runMigrations(db);                        // no-op when already current</w:t>
      </w:r>
    </w:p>
    <w:p>
      <w:pPr>
        <w:pStyle w:val="PreformattedText"/>
        <w:bidi w:val="0"/>
        <w:jc w:val="left"/>
        <w:rPr/>
      </w:pPr>
      <w:r>
        <w:rPr/>
      </w:r>
    </w:p>
    <w:p>
      <w:pPr>
        <w:pStyle w:val="PreformattedText"/>
        <w:bidi w:val="0"/>
        <w:jc w:val="left"/>
        <w:rPr/>
      </w:pPr>
      <w:r>
        <w:rPr>
          <w:rStyle w:val="SourceText"/>
        </w:rPr>
        <w:t xml:space="preserve">  </w:t>
      </w:r>
      <w:r>
        <w:rPr>
          <w:rStyle w:val="SourceText"/>
        </w:rPr>
        <w:t>const state = await vaultStateRepo.load(db);</w:t>
      </w:r>
    </w:p>
    <w:p>
      <w:pPr>
        <w:pStyle w:val="PreformattedText"/>
        <w:bidi w:val="0"/>
        <w:jc w:val="left"/>
        <w:rPr/>
      </w:pPr>
      <w:r>
        <w:rPr>
          <w:rStyle w:val="SourceText"/>
        </w:rPr>
        <w:t xml:space="preserve">  </w:t>
      </w:r>
      <w:r>
        <w:rPr>
          <w:rStyle w:val="SourceText"/>
        </w:rPr>
        <w:t>if (!state?.initialized) return uninitialized(db); // only /v1/health + /v1/vault/init</w:t>
      </w:r>
    </w:p>
    <w:p>
      <w:pPr>
        <w:pStyle w:val="PreformattedText"/>
        <w:bidi w:val="0"/>
        <w:jc w:val="left"/>
        <w:rPr/>
      </w:pPr>
      <w:r>
        <w:rPr/>
      </w:r>
    </w:p>
    <w:p>
      <w:pPr>
        <w:pStyle w:val="PreformattedText"/>
        <w:bidi w:val="0"/>
        <w:jc w:val="left"/>
        <w:rPr/>
      </w:pPr>
      <w:r>
        <w:rPr>
          <w:rStyle w:val="SourceText"/>
        </w:rPr>
        <w:t xml:space="preserve">  </w:t>
      </w:r>
      <w:r>
        <w:rPr>
          <w:rStyle w:val="SourceText"/>
        </w:rPr>
        <w:t>const vault = await rehydrateVault(state, config);  // decrypt keystore, or re-auth Turnkey</w:t>
      </w:r>
    </w:p>
    <w:p>
      <w:pPr>
        <w:pStyle w:val="PreformattedText"/>
        <w:bidi w:val="0"/>
        <w:jc w:val="left"/>
        <w:rPr/>
      </w:pPr>
      <w:r>
        <w:rPr>
          <w:rStyle w:val="SourceText"/>
        </w:rPr>
        <w:t xml:space="preserve">  </w:t>
      </w:r>
      <w:r>
        <w:rPr>
          <w:rStyle w:val="SourceText"/>
        </w:rPr>
        <w:t>await assertVaultMatchesDirectory(vault, db);       // re-derive and compare stored addresses</w:t>
      </w:r>
    </w:p>
    <w:p>
      <w:pPr>
        <w:pStyle w:val="PreformattedText"/>
        <w:bidi w:val="0"/>
        <w:jc w:val="left"/>
        <w:rPr/>
      </w:pPr>
      <w:r>
        <w:rPr>
          <w:rStyle w:val="SourceText"/>
        </w:rPr>
        <w:t xml:space="preserve">  </w:t>
      </w:r>
      <w:r>
        <w:rPr>
          <w:rStyle w:val="SourceText"/>
        </w:rPr>
        <w:t>await assertMasterMatchesConfig(state, config);     // location/address drift check</w:t>
      </w:r>
    </w:p>
    <w:p>
      <w:pPr>
        <w:pStyle w:val="PreformattedText"/>
        <w:bidi w:val="0"/>
        <w:jc w:val="left"/>
        <w:rPr/>
      </w:pPr>
      <w:r>
        <w:rPr>
          <w:rStyle w:val="SourceText"/>
        </w:rPr>
        <w:t xml:space="preserve">  </w:t>
      </w:r>
      <w:r>
        <w:rPr>
          <w:rStyle w:val="SourceText"/>
        </w:rPr>
        <w:t>await assertExchangeDomain(config);                 // existing EIP-712 self-check</w:t>
      </w:r>
    </w:p>
    <w:p>
      <w:pPr>
        <w:pStyle w:val="PreformattedText"/>
        <w:bidi w:val="0"/>
        <w:jc w:val="left"/>
        <w:rPr/>
      </w:pPr>
      <w:r>
        <w:rPr/>
      </w:r>
    </w:p>
    <w:p>
      <w:pPr>
        <w:pStyle w:val="PreformattedText"/>
        <w:bidi w:val="0"/>
        <w:jc w:val="left"/>
        <w:rPr/>
      </w:pPr>
      <w:r>
        <w:rPr>
          <w:rStyle w:val="SourceText"/>
        </w:rPr>
        <w:t xml:space="preserve">  </w:t>
      </w:r>
      <w:r>
        <w:rPr>
          <w:rStyle w:val="SourceText"/>
        </w:rPr>
        <w:t>const nextIndex = await walletRepo.maxDerivationIndex(db) + 1;</w:t>
      </w:r>
    </w:p>
    <w:p>
      <w:pPr>
        <w:pStyle w:val="PreformattedText"/>
        <w:bidi w:val="0"/>
        <w:jc w:val="left"/>
        <w:rPr/>
      </w:pPr>
      <w:r>
        <w:rPr>
          <w:rStyle w:val="SourceText"/>
        </w:rPr>
        <w:t xml:space="preserve">  </w:t>
      </w:r>
      <w:r>
        <w:rPr>
          <w:rStyle w:val="SourceText"/>
        </w:rPr>
        <w:t>await idempotencyRepo.purgeExpired(db);</w:t>
      </w:r>
    </w:p>
    <w:p>
      <w:pPr>
        <w:pStyle w:val="PreformattedText"/>
        <w:bidi w:val="0"/>
        <w:jc w:val="left"/>
        <w:rPr/>
      </w:pPr>
      <w:r>
        <w:rPr>
          <w:rStyle w:val="SourceText"/>
        </w:rPr>
        <w:t xml:space="preserve">  </w:t>
      </w:r>
      <w:r>
        <w:rPr>
          <w:rStyle w:val="SourceText"/>
        </w:rPr>
        <w:t>return ready({ db, vault, nextIndex });</w:t>
      </w:r>
    </w:p>
    <w:p>
      <w:pPr>
        <w:pStyle w:val="PreformattedText"/>
        <w:bidi w:val="0"/>
        <w:spacing w:before="0" w:after="283"/>
        <w:jc w:val="left"/>
        <w:rPr/>
      </w:pPr>
      <w:r>
        <w:rPr>
          <w:rStyle w:val="SourceText"/>
        </w:rPr>
        <w:t>}</w:t>
      </w:r>
    </w:p>
    <w:p>
      <w:pPr>
        <w:pStyle w:val="BodyText"/>
        <w:bidi w:val="0"/>
        <w:jc w:val="left"/>
        <w:rPr/>
      </w:pPr>
      <w:r>
        <w:rPr/>
        <w:t>What each step recovers:</w:t>
      </w:r>
    </w:p>
    <w:tbl>
      <w:tblPr>
        <w:tblW w:w="5000" w:type="pct"/>
        <w:jc w:val="left"/>
        <w:tblInd w:w="45" w:type="dxa"/>
        <w:tblLayout w:type="fixed"/>
        <w:tblCellMar>
          <w:top w:w="45" w:type="dxa"/>
          <w:left w:w="45" w:type="dxa"/>
          <w:bottom w:w="45" w:type="dxa"/>
          <w:right w:w="45" w:type="dxa"/>
        </w:tblCellMar>
      </w:tblPr>
      <w:tblGrid>
        <w:gridCol w:w="1601"/>
        <w:gridCol w:w="3297"/>
        <w:gridCol w:w="6441"/>
      </w:tblGrid>
      <w:tr>
        <w:trPr>
          <w:tblHeader w:val="true"/>
        </w:trPr>
        <w:tc>
          <w:tcPr>
            <w:tcW w:w="160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Step</w:t>
            </w:r>
          </w:p>
        </w:tc>
        <w:tc>
          <w:tcPr>
            <w:tcW w:w="32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Recovered from</w:t>
            </w:r>
          </w:p>
        </w:tc>
        <w:tc>
          <w:tcPr>
            <w:tcW w:w="64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Notes</w:t>
            </w:r>
          </w:p>
        </w:tc>
      </w:tr>
      <w:tr>
        <w:trPr/>
        <w:tc>
          <w:tcPr>
            <w:tcW w:w="160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Migrations</w:t>
            </w:r>
          </w:p>
        </w:tc>
        <w:tc>
          <w:tcPr>
            <w:tcW w:w="32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src/db/migrations/</w:t>
            </w:r>
          </w:p>
        </w:tc>
        <w:tc>
          <w:tcPr>
            <w:tcW w:w="64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Idempotent; brings an older volume up to the current schema after an image upgrade.</w:t>
            </w:r>
          </w:p>
        </w:tc>
      </w:tr>
      <w:tr>
        <w:trPr/>
        <w:tc>
          <w:tcPr>
            <w:tcW w:w="160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Vault state</w:t>
            </w:r>
          </w:p>
        </w:tc>
        <w:tc>
          <w:tcPr>
            <w:tcW w:w="32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vault_state</w:t>
            </w:r>
            <w:r>
              <w:rPr/>
              <w:t xml:space="preserve"> (single row)</w:t>
            </w:r>
          </w:p>
        </w:tc>
        <w:tc>
          <w:tcPr>
            <w:tcW w:w="64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Mode, master location, master address, custodian label, and the encrypted keystore blob.</w:t>
            </w:r>
          </w:p>
        </w:tc>
      </w:tr>
      <w:tr>
        <w:trPr/>
        <w:tc>
          <w:tcPr>
            <w:tcW w:w="160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Signing keys</w:t>
            </w:r>
          </w:p>
        </w:tc>
        <w:tc>
          <w:tcPr>
            <w:tcW w:w="32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keystore_ciphertext</w:t>
            </w:r>
            <w:r>
              <w:rPr/>
              <w:t xml:space="preserve"> + </w:t>
            </w:r>
            <w:r>
              <w:rPr>
                <w:rStyle w:val="SourceText"/>
              </w:rPr>
              <w:t>keystore_salt</w:t>
            </w:r>
            <w:r>
              <w:rPr/>
              <w:t xml:space="preserve"> + </w:t>
            </w:r>
            <w:r>
              <w:rPr>
                <w:rStyle w:val="SourceText"/>
              </w:rPr>
              <w:t>keystore_iv</w:t>
            </w:r>
          </w:p>
        </w:tc>
        <w:tc>
          <w:tcPr>
            <w:tcW w:w="64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Decrypted with </w:t>
            </w:r>
            <w:r>
              <w:rPr>
                <w:rStyle w:val="SourceText"/>
              </w:rPr>
              <w:t>DPMW_KEYSTORE_PASSPHRASE</w:t>
            </w:r>
            <w:r>
              <w:rPr/>
              <w:t xml:space="preserve"> into memory only. Turnkey mode holds no key — it re-reads </w:t>
            </w:r>
            <w:r>
              <w:rPr>
                <w:rStyle w:val="SourceText"/>
              </w:rPr>
              <w:t>turnkey_org_id</w:t>
            </w:r>
            <w:r>
              <w:rPr/>
              <w:t xml:space="preserve"> and re-authenticates.</w:t>
            </w:r>
          </w:p>
        </w:tc>
      </w:tr>
      <w:tr>
        <w:trPr/>
        <w:tc>
          <w:tcPr>
            <w:tcW w:w="160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Address directory</w:t>
            </w:r>
          </w:p>
        </w:tc>
        <w:tc>
          <w:tcPr>
            <w:tcW w:w="32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wallets</w:t>
            </w:r>
          </w:p>
        </w:tc>
        <w:tc>
          <w:tcPr>
            <w:tcW w:w="64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Refs, roles, derivation indices, EOA and proxy addresses, Turnkey account ids, </w:t>
            </w:r>
            <w:r>
              <w:rPr>
                <w:rStyle w:val="SourceText"/>
              </w:rPr>
              <w:t>dpm_registered</w:t>
            </w:r>
            <w:r>
              <w:rPr/>
              <w:t xml:space="preserve"> flags.</w:t>
            </w:r>
          </w:p>
        </w:tc>
      </w:tr>
      <w:tr>
        <w:trPr/>
        <w:tc>
          <w:tcPr>
            <w:tcW w:w="160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Next derivation index</w:t>
            </w:r>
          </w:p>
        </w:tc>
        <w:tc>
          <w:tcPr>
            <w:tcW w:w="32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MAX(derivation_index) + 1</w:t>
            </w:r>
          </w:p>
        </w:tc>
        <w:tc>
          <w:tcPr>
            <w:tcW w:w="64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Read from the database, never from memory or config, so a restart can never reissue an index and collide with an existing address.</w:t>
            </w:r>
          </w:p>
        </w:tc>
      </w:tr>
      <w:tr>
        <w:trPr/>
        <w:tc>
          <w:tcPr>
            <w:tcW w:w="1601"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rStyle w:val="Strong"/>
              </w:rPr>
              <w:t>Idempotency window</w:t>
            </w:r>
          </w:p>
        </w:tc>
        <w:tc>
          <w:tcPr>
            <w:tcW w:w="329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rStyle w:val="SourceText"/>
              </w:rPr>
              <w:t>idempotency_keys</w:t>
            </w:r>
          </w:p>
        </w:tc>
        <w:tc>
          <w:tcPr>
            <w:tcW w:w="64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Survives restart, so a client retrying across a restart still gets the original response instead of a second signature.</w:t>
            </w:r>
          </w:p>
        </w:tc>
      </w:tr>
      <w:tr>
        <w:trPr/>
        <w:tc>
          <w:tcPr>
            <w:tcW w:w="1601"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rStyle w:val="Strong"/>
              </w:rPr>
              <w:t>Audit history</w:t>
            </w:r>
          </w:p>
        </w:tc>
        <w:tc>
          <w:tcPr>
            <w:tcW w:w="329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rStyle w:val="SourceText"/>
              </w:rPr>
              <w:t>audit_events</w:t>
            </w:r>
            <w:r>
              <w:rPr/>
              <w:t xml:space="preserve">, </w:t>
            </w:r>
            <w:r>
              <w:rPr>
                <w:rStyle w:val="SourceText"/>
              </w:rPr>
              <w:t>signing_requests</w:t>
            </w:r>
          </w:p>
        </w:tc>
        <w:tc>
          <w:tcPr>
            <w:tcW w:w="64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Continuous across restarts; the log is append-only.</w:t>
            </w:r>
          </w:p>
        </w:tc>
      </w:tr>
    </w:tbl>
    <w:p>
      <w:pPr>
        <w:pStyle w:val="BodyText"/>
        <w:bidi w:val="0"/>
        <w:jc w:val="left"/>
        <w:rPr/>
      </w:pPr>
      <w:r>
        <w:rPr/>
        <w:t xml:space="preserve">Three of these steps are </w:t>
      </w:r>
      <w:r>
        <w:rPr>
          <w:rStyle w:val="Strong"/>
        </w:rPr>
        <w:t>fail-fast consistency checks</w:t>
      </w:r>
      <w:r>
        <w:rPr/>
        <w:t xml:space="preserve"> rather than loads, and the container refuses to become ready if any fails:</w:t>
      </w:r>
    </w:p>
    <w:p>
      <w:pPr>
        <w:pStyle w:val="BodyText"/>
        <w:numPr>
          <w:ilvl w:val="0"/>
          <w:numId w:val="17"/>
        </w:numPr>
        <w:tabs>
          <w:tab w:val="clear" w:pos="1134"/>
          <w:tab w:val="left" w:pos="709" w:leader="none"/>
        </w:tabs>
        <w:bidi w:val="0"/>
        <w:spacing w:before="0" w:after="0"/>
        <w:ind w:hanging="283" w:left="709"/>
        <w:jc w:val="left"/>
        <w:rPr/>
      </w:pPr>
      <w:r>
        <w:rPr>
          <w:rStyle w:val="SourceText"/>
        </w:rPr>
        <w:t>assertVaultMatchesDirectory</w:t>
      </w:r>
      <w:r>
        <w:rPr/>
        <w:t xml:space="preserve"> re-derives the EOA for the stored wallets and compares against </w:t>
      </w:r>
      <w:r>
        <w:rPr>
          <w:rStyle w:val="SourceText"/>
        </w:rPr>
        <w:t>wallets.eoa_address</w:t>
      </w:r>
      <w:r>
        <w:rPr/>
        <w:t xml:space="preserve">. A mismatch means the volume and the key material have diverged — a database restored from a different install, or a new mnemonic dropped onto an existing volume. Continuing would silently mint a second, unrelated address tree for existing customer refs, so this aborts startup with </w:t>
      </w:r>
      <w:r>
        <w:rPr>
          <w:rStyle w:val="SourceText"/>
        </w:rPr>
        <w:t>VAULT_DB_MISMATCH</w:t>
      </w:r>
      <w:r>
        <w:rPr/>
        <w:t xml:space="preserve"> and exits non-zero (a boot failure, not an HTTP error — the server never binds). </w:t>
      </w:r>
    </w:p>
    <w:p>
      <w:pPr>
        <w:pStyle w:val="BodyText"/>
        <w:numPr>
          <w:ilvl w:val="0"/>
          <w:numId w:val="17"/>
        </w:numPr>
        <w:tabs>
          <w:tab w:val="clear" w:pos="1134"/>
          <w:tab w:val="left" w:pos="709" w:leader="none"/>
        </w:tabs>
        <w:bidi w:val="0"/>
        <w:spacing w:before="0" w:after="0"/>
        <w:ind w:hanging="283" w:left="709"/>
        <w:jc w:val="left"/>
        <w:rPr/>
      </w:pPr>
      <w:r>
        <w:rPr>
          <w:rStyle w:val="SourceText"/>
        </w:rPr>
        <w:t>assertMasterMatchesConfig</w:t>
      </w:r>
      <w:r>
        <w:rPr/>
        <w:t xml:space="preserve"> compares </w:t>
      </w:r>
      <w:r>
        <w:rPr>
          <w:rStyle w:val="SourceText"/>
        </w:rPr>
        <w:t>vault_state.master_location</w:t>
      </w:r>
      <w:r>
        <w:rPr/>
        <w:t xml:space="preserve"> / </w:t>
      </w:r>
      <w:r>
        <w:rPr>
          <w:rStyle w:val="SourceText"/>
        </w:rPr>
        <w:t>master_address</w:t>
      </w:r>
      <w:r>
        <w:rPr/>
        <w:t xml:space="preserve"> with </w:t>
      </w:r>
      <w:r>
        <w:rPr>
          <w:rStyle w:val="SourceText"/>
        </w:rPr>
        <w:t>DPMW_MASTER_LOCATION</w:t>
      </w:r>
      <w:r>
        <w:rPr/>
        <w:t xml:space="preserve"> / </w:t>
      </w:r>
      <w:r>
        <w:rPr>
          <w:rStyle w:val="SourceText"/>
        </w:rPr>
        <w:t>DPMW_MASTER_ADDRESS</w:t>
      </w:r>
      <w:r>
        <w:rPr/>
        <w:t xml:space="preserve">. This catches an operator flipping custody mode against a volume that was initialised the other way. </w:t>
      </w:r>
    </w:p>
    <w:p>
      <w:pPr>
        <w:pStyle w:val="BodyText"/>
        <w:numPr>
          <w:ilvl w:val="0"/>
          <w:numId w:val="17"/>
        </w:numPr>
        <w:tabs>
          <w:tab w:val="clear" w:pos="1134"/>
          <w:tab w:val="left" w:pos="709" w:leader="none"/>
        </w:tabs>
        <w:bidi w:val="0"/>
        <w:ind w:hanging="283" w:left="709"/>
        <w:jc w:val="left"/>
        <w:rPr/>
      </w:pPr>
      <w:r>
        <w:rPr/>
        <w:t xml:space="preserve">A wrong </w:t>
      </w:r>
      <w:r>
        <w:rPr>
          <w:rStyle w:val="SourceText"/>
        </w:rPr>
        <w:t>DPMW_KEYSTORE_PASSPHRASE</w:t>
      </w:r>
      <w:r>
        <w:rPr/>
        <w:t xml:space="preserve"> fails earlier and unambiguously: AES-256-GCM authentication fails during decryption, so the container never reaches the address checks. </w:t>
      </w:r>
    </w:p>
    <w:p>
      <w:pPr>
        <w:pStyle w:val="BodyText"/>
        <w:bidi w:val="0"/>
        <w:jc w:val="left"/>
        <w:rPr/>
      </w:pPr>
      <w:r>
        <w:rPr/>
        <w:t xml:space="preserve">Readiness (§17.3) only reports ready after </w:t>
      </w:r>
      <w:r>
        <w:rPr>
          <w:rStyle w:val="SourceText"/>
        </w:rPr>
        <w:t>bootstrap</w:t>
      </w:r>
      <w:r>
        <w:rPr/>
        <w:t xml:space="preserve"> completes, so an orchestrator will not route traffic to a container whose vault could not be rehydrated.</w:t>
      </w:r>
    </w:p>
    <w:p>
      <w:pPr>
        <w:pStyle w:val="Heading3"/>
        <w:bidi w:val="0"/>
        <w:jc w:val="left"/>
        <w:rPr/>
      </w:pPr>
      <w:r>
        <w:rPr/>
        <w:t>17.6 Backup and restore</w:t>
      </w:r>
    </w:p>
    <w:p>
      <w:pPr>
        <w:pStyle w:val="BodyText"/>
        <w:bidi w:val="0"/>
        <w:jc w:val="left"/>
        <w:rPr/>
      </w:pPr>
      <w:r>
        <w:rPr/>
        <w:t xml:space="preserve">The volume is the unit of backup. Because the database may have an active </w:t>
      </w:r>
      <w:r>
        <w:rPr>
          <w:rStyle w:val="SourceText"/>
        </w:rPr>
        <w:t>-wal</w:t>
      </w:r>
      <w:r>
        <w:rPr/>
        <w:t xml:space="preserve"> file, </w:t>
      </w:r>
      <w:r>
        <w:rPr>
          <w:rStyle w:val="Strong"/>
        </w:rPr>
        <w:t xml:space="preserve">do not </w:t>
      </w:r>
      <w:r>
        <w:rPr>
          <w:rStyle w:val="SourceText"/>
        </w:rPr>
        <w:t>cp</w:t>
      </w:r>
      <w:r>
        <w:rPr>
          <w:rStyle w:val="Strong"/>
        </w:rPr>
        <w:t xml:space="preserve"> the </w:t>
      </w:r>
      <w:r>
        <w:rPr>
          <w:rStyle w:val="SourceText"/>
        </w:rPr>
        <w:t>.sqlite</w:t>
      </w:r>
      <w:r>
        <w:rPr>
          <w:rStyle w:val="Strong"/>
        </w:rPr>
        <w:t xml:space="preserve"> file from a running container</w:t>
      </w:r>
      <w:r>
        <w:rPr/>
        <w:t xml:space="preserve"> — that can capture a torn state. Use SQLite's online backup, which is safe against a live writer and produces a single consistent file:</w:t>
      </w:r>
    </w:p>
    <w:p>
      <w:pPr>
        <w:pStyle w:val="PreformattedText"/>
        <w:bidi w:val="0"/>
        <w:jc w:val="left"/>
        <w:rPr/>
      </w:pPr>
      <w:r>
        <w:rPr>
          <w:rStyle w:val="SourceText"/>
        </w:rPr>
        <w:t>docker exec dpmw node -e "require('better-sqlite3')(process.env.DATABASE_PATH)\</w:t>
      </w:r>
    </w:p>
    <w:p>
      <w:pPr>
        <w:pStyle w:val="PreformattedText"/>
        <w:bidi w:val="0"/>
        <w:spacing w:before="0" w:after="283"/>
        <w:jc w:val="left"/>
        <w:rPr/>
      </w:pPr>
      <w:r>
        <w:rPr>
          <w:rStyle w:val="SourceText"/>
        </w:rPr>
        <w:t xml:space="preserve">  </w:t>
      </w:r>
      <w:r>
        <w:rPr>
          <w:rStyle w:val="SourceText"/>
        </w:rPr>
        <w:t>.exec(\"VACUUM INTO '/data/backup-\$(date +%F).sqlite'\")"</w:t>
      </w:r>
    </w:p>
    <w:p>
      <w:pPr>
        <w:pStyle w:val="BodyText"/>
        <w:bidi w:val="0"/>
        <w:jc w:val="left"/>
        <w:rPr/>
      </w:pPr>
      <w:r>
        <w:rPr/>
        <w:t xml:space="preserve">Restore is the reverse: stop the container, place the file at </w:t>
      </w:r>
      <w:r>
        <w:rPr>
          <w:rStyle w:val="SourceText"/>
        </w:rPr>
        <w:t>DATABASE_PATH</w:t>
      </w:r>
      <w:r>
        <w:rPr/>
        <w:t xml:space="preserve"> on the volume (removing any stale </w:t>
      </w:r>
      <w:r>
        <w:rPr>
          <w:rStyle w:val="SourceText"/>
        </w:rPr>
        <w:t>-wal</w:t>
      </w:r>
      <w:r>
        <w:rPr/>
        <w:t>/</w:t>
      </w:r>
      <w:r>
        <w:rPr>
          <w:rStyle w:val="SourceText"/>
        </w:rPr>
        <w:t>-shm</w:t>
      </w:r>
      <w:r>
        <w:rPr/>
        <w:t xml:space="preserve"> sidecars), and start. In mnemonic mode the backup contains the </w:t>
      </w:r>
      <w:r>
        <w:rPr>
          <w:rStyle w:val="Strong"/>
        </w:rPr>
        <w:t>encrypted</w:t>
      </w:r>
      <w:r>
        <w:rPr/>
        <w:t xml:space="preserve"> keystore, so a restore also needs the original </w:t>
      </w:r>
      <w:r>
        <w:rPr>
          <w:rStyle w:val="SourceText"/>
        </w:rPr>
        <w:t>DPMW_KEYSTORE_PASSPHRASE</w:t>
      </w:r>
      <w:r>
        <w:rPr/>
        <w:t xml:space="preserve"> — and the mnemonic itself should additionally be backed up out of band via the guarded export endpoint (§6.4). A database backup alone is not a key backup.</w:t>
      </w:r>
    </w:p>
    <w:p>
      <w:pPr>
        <w:pStyle w:val="HorizontalLine"/>
        <w:bidi w:val="0"/>
        <w:jc w:val="left"/>
        <w:rPr/>
      </w:pPr>
      <w:r>
        <w:rPr/>
      </w:r>
    </w:p>
    <w:p>
      <w:pPr>
        <w:pStyle w:val="Heading2"/>
        <w:bidi w:val="0"/>
        <w:jc w:val="left"/>
        <w:rPr/>
      </w:pPr>
      <w:r>
        <w:rPr/>
        <w:t>18. Open items for implementation</w:t>
      </w:r>
    </w:p>
    <w:p>
      <w:pPr>
        <w:pStyle w:val="BodyText"/>
        <w:numPr>
          <w:ilvl w:val="0"/>
          <w:numId w:val="18"/>
        </w:numPr>
        <w:tabs>
          <w:tab w:val="clear" w:pos="1134"/>
          <w:tab w:val="left" w:pos="709" w:leader="none"/>
        </w:tabs>
        <w:bidi w:val="0"/>
        <w:spacing w:before="0" w:after="0"/>
        <w:ind w:hanging="283" w:left="709"/>
        <w:jc w:val="left"/>
        <w:rPr/>
      </w:pPr>
      <w:r>
        <w:rPr/>
        <w:t xml:space="preserve">Confirm the Turnkey signing API surface for EIP-712 typed data vs raw payloads, and map it onto </w:t>
      </w:r>
      <w:r>
        <w:rPr>
          <w:rStyle w:val="SourceText"/>
        </w:rPr>
        <w:t>SignerProvider.signRawPayload</w:t>
      </w:r>
      <w:r>
        <w:rPr/>
        <w:t xml:space="preserve">. </w:t>
      </w:r>
    </w:p>
    <w:p>
      <w:pPr>
        <w:pStyle w:val="BodyText"/>
        <w:numPr>
          <w:ilvl w:val="0"/>
          <w:numId w:val="18"/>
        </w:numPr>
        <w:tabs>
          <w:tab w:val="clear" w:pos="1134"/>
          <w:tab w:val="left" w:pos="709" w:leader="none"/>
        </w:tabs>
        <w:bidi w:val="0"/>
        <w:spacing w:before="0" w:after="0"/>
        <w:ind w:hanging="283" w:left="709"/>
        <w:jc w:val="left"/>
        <w:rPr/>
      </w:pPr>
      <w:r>
        <w:rPr/>
        <w:t xml:space="preserve">Confirm the exact </w:t>
      </w:r>
      <w:r>
        <w:rPr>
          <w:rStyle w:val="SourceText"/>
        </w:rPr>
        <w:t>SubmitTransactionRequest</w:t>
      </w:r>
      <w:r>
        <w:rPr/>
        <w:t xml:space="preserve"> field set accepted by the deployed </w:t>
      </w:r>
      <w:r>
        <w:rPr>
          <w:rStyle w:val="SourceText"/>
        </w:rPr>
        <w:t>relayer-api</w:t>
      </w:r>
      <w:r>
        <w:rPr/>
        <w:t xml:space="preserve"> matches the SDK's </w:t>
      </w:r>
      <w:r>
        <w:rPr>
          <w:rStyle w:val="SourceText"/>
        </w:rPr>
        <w:t>SubmitTransactionRequest</w:t>
      </w:r>
      <w:r>
        <w:rPr/>
        <w:t xml:space="preserve"> type (they align today; pin it with a contract test). </w:t>
      </w:r>
    </w:p>
    <w:p>
      <w:pPr>
        <w:pStyle w:val="BodyText"/>
        <w:numPr>
          <w:ilvl w:val="0"/>
          <w:numId w:val="18"/>
        </w:numPr>
        <w:tabs>
          <w:tab w:val="clear" w:pos="1134"/>
          <w:tab w:val="left" w:pos="709" w:leader="none"/>
        </w:tabs>
        <w:bidi w:val="0"/>
        <w:spacing w:before="0" w:after="0"/>
        <w:ind w:hanging="283" w:left="709"/>
        <w:jc w:val="left"/>
        <w:rPr/>
      </w:pPr>
      <w:r>
        <w:rPr/>
        <w:t xml:space="preserve">Decide whether </w:t>
      </w:r>
      <w:r>
        <w:rPr>
          <w:rStyle w:val="SourceText"/>
        </w:rPr>
        <w:t>EXCHANGE_DOMAIN_NAME</w:t>
      </w:r>
      <w:r>
        <w:rPr/>
        <w:t xml:space="preserve"> becomes an SDK parameter (preferred) or stays a </w:t>
      </w:r>
      <w:r>
        <w:rPr>
          <w:rStyle w:val="SourceText"/>
        </w:rPr>
        <w:t>dpmw</w:t>
      </w:r>
      <w:r>
        <w:rPr/>
        <w:t xml:space="preserve">-side override until the SDK change lands. </w:t>
      </w:r>
    </w:p>
    <w:p>
      <w:pPr>
        <w:pStyle w:val="BodyText"/>
        <w:numPr>
          <w:ilvl w:val="0"/>
          <w:numId w:val="18"/>
        </w:numPr>
        <w:tabs>
          <w:tab w:val="clear" w:pos="1134"/>
          <w:tab w:val="left" w:pos="709" w:leader="none"/>
        </w:tabs>
        <w:bidi w:val="0"/>
        <w:spacing w:before="0" w:after="0"/>
        <w:ind w:hanging="283" w:left="709"/>
        <w:jc w:val="left"/>
        <w:rPr/>
      </w:pPr>
      <w:r>
        <w:rPr/>
        <w:t xml:space="preserve">Decide dual-control model beyond v1 (shared approver tokens → per-approver signatures). </w:t>
      </w:r>
    </w:p>
    <w:p>
      <w:pPr>
        <w:pStyle w:val="BodyText"/>
        <w:numPr>
          <w:ilvl w:val="0"/>
          <w:numId w:val="18"/>
        </w:numPr>
        <w:tabs>
          <w:tab w:val="clear" w:pos="1134"/>
          <w:tab w:val="left" w:pos="709" w:leader="none"/>
        </w:tabs>
        <w:bidi w:val="0"/>
        <w:spacing w:before="0" w:after="283"/>
        <w:ind w:hanging="283" w:left="709"/>
        <w:jc w:val="left"/>
        <w:rPr/>
      </w:pPr>
      <w:r>
        <w:rPr/>
        <w:t xml:space="preserve">Decide whether an </w:t>
      </w:r>
      <w:r>
        <w:rPr>
          <w:rStyle w:val="Strong"/>
        </w:rPr>
        <w:t>external master</w:t>
      </w:r>
      <w:r>
        <w:rPr/>
        <w:t xml:space="preserve"> should later become signable through the </w:t>
      </w:r>
      <w:r>
        <w:rPr>
          <w:rStyle w:val="SourceText"/>
        </w:rPr>
        <w:t>SignerProvider</w:t>
      </w:r>
      <w:r>
        <w:rPr/>
        <w:t xml:space="preserve"> seam (e.g. a Fireblocks provider that assembles and signs master treasury transactions), versus remaining fully operator-driven. v1 treats it as address-only / non-signable.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8"/>
      <w:szCs w:val="1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5F5F5" w:val="clear"/>
      <w:spacing w:before="0" w:after="0"/>
    </w:pPr>
    <w:rPr>
      <w:rFonts w:ascii="Consolas;Courier New;monospace" w:hAnsi="Consolas;Courier New;monospace" w:eastAsia="Consolas;Courier New;monospace" w:cs="Consolas;Courier New;monospace"/>
      <w:sz w:val="18"/>
      <w:szCs w:val="18"/>
    </w:rPr>
  </w:style>
  <w:style w:type="paragraph" w:styleId="TableHeading">
    <w:name w:val="Table Heading"/>
    <w:basedOn w:val="TableContents"/>
    <w:qFormat/>
    <w:pPr>
      <w:suppressLineNumbers/>
      <w:jc w:val="center"/>
    </w:pPr>
    <w:rPr>
      <w:b/>
      <w:bCs/>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