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564CF" w14:textId="77777777" w:rsidR="00722672" w:rsidRPr="006C1A25" w:rsidRDefault="00C2069E" w:rsidP="00C2069E">
      <w:pPr>
        <w:pStyle w:val="berschrift1"/>
        <w:rPr>
          <w:lang w:val="en-US"/>
        </w:rPr>
      </w:pPr>
      <w:r w:rsidRPr="006C1A25">
        <w:rPr>
          <w:lang w:val="en-US"/>
        </w:rPr>
        <w:t>EPD Data Format – Developer Quick Start Guide</w:t>
      </w:r>
    </w:p>
    <w:p w14:paraId="2F390808" w14:textId="77777777" w:rsidR="00C2069E" w:rsidRPr="006C1A25" w:rsidRDefault="00C2069E">
      <w:pPr>
        <w:rPr>
          <w:lang w:val="en-US"/>
        </w:rPr>
      </w:pPr>
    </w:p>
    <w:p w14:paraId="39F5E28A" w14:textId="77777777" w:rsidR="00C2069E" w:rsidRPr="006C1A25" w:rsidRDefault="00C2069E" w:rsidP="00C2069E">
      <w:pPr>
        <w:pStyle w:val="berschrift2"/>
        <w:rPr>
          <w:lang w:val="en-US"/>
        </w:rPr>
      </w:pPr>
      <w:r w:rsidRPr="006C1A25">
        <w:rPr>
          <w:lang w:val="en-US"/>
        </w:rPr>
        <w:t>About this document</w:t>
      </w:r>
    </w:p>
    <w:p w14:paraId="2900947D" w14:textId="3CE8A411" w:rsidR="00C2069E" w:rsidRPr="006C1A25" w:rsidRDefault="00C2069E">
      <w:pPr>
        <w:rPr>
          <w:lang w:val="en-US"/>
        </w:rPr>
      </w:pPr>
      <w:r w:rsidRPr="006C1A25">
        <w:rPr>
          <w:lang w:val="en-US"/>
        </w:rPr>
        <w:t xml:space="preserve">This document </w:t>
      </w:r>
      <w:r w:rsidR="00F97724" w:rsidRPr="006C1A25">
        <w:rPr>
          <w:lang w:val="en-US"/>
        </w:rPr>
        <w:t>serves as a starting point for</w:t>
      </w:r>
      <w:r w:rsidRPr="006C1A25">
        <w:rPr>
          <w:lang w:val="en-US"/>
        </w:rPr>
        <w:t xml:space="preserve"> software developers who want to integrate support for the </w:t>
      </w:r>
      <w:r w:rsidR="003C6D57" w:rsidRPr="006C1A25">
        <w:rPr>
          <w:lang w:val="en-US"/>
        </w:rPr>
        <w:t>ÖKOBAUDAT</w:t>
      </w:r>
      <w:r w:rsidRPr="006C1A25">
        <w:rPr>
          <w:lang w:val="en-US"/>
        </w:rPr>
        <w:t xml:space="preserve">’s EPD data format and/or data exchange to or from the </w:t>
      </w:r>
      <w:r w:rsidR="003C6D57" w:rsidRPr="006C1A25">
        <w:rPr>
          <w:lang w:val="en-US"/>
        </w:rPr>
        <w:t>ÖKOBAUDAT</w:t>
      </w:r>
      <w:r w:rsidRPr="006C1A25">
        <w:rPr>
          <w:lang w:val="en-US"/>
        </w:rPr>
        <w:t xml:space="preserve"> into their software applications.</w:t>
      </w:r>
    </w:p>
    <w:p w14:paraId="164D3669" w14:textId="77777777" w:rsidR="00C2069E" w:rsidRPr="006C1A25" w:rsidRDefault="00C2069E">
      <w:pPr>
        <w:rPr>
          <w:lang w:val="en-US"/>
        </w:rPr>
      </w:pPr>
    </w:p>
    <w:p w14:paraId="2B2D1A0F" w14:textId="77777777" w:rsidR="00C2069E" w:rsidRDefault="00C2069E" w:rsidP="00C2069E">
      <w:pPr>
        <w:pStyle w:val="berschrift2"/>
      </w:pPr>
      <w:r>
        <w:t>Data Format – General Information</w:t>
      </w:r>
    </w:p>
    <w:p w14:paraId="551E273D" w14:textId="2622F914" w:rsidR="00711EA4" w:rsidRPr="006C1A25" w:rsidRDefault="00C2069E" w:rsidP="00C2069E">
      <w:pPr>
        <w:rPr>
          <w:lang w:val="en-US"/>
        </w:rPr>
      </w:pPr>
      <w:r w:rsidRPr="006C1A25">
        <w:rPr>
          <w:lang w:val="en-US"/>
        </w:rPr>
        <w:t xml:space="preserve">The data format used to describe EPDs in the </w:t>
      </w:r>
      <w:r w:rsidR="003C6D57" w:rsidRPr="006C1A25">
        <w:rPr>
          <w:lang w:val="en-US"/>
        </w:rPr>
        <w:t>ÖKOBAUDAT</w:t>
      </w:r>
      <w:r w:rsidRPr="006C1A25">
        <w:rPr>
          <w:lang w:val="en-US"/>
        </w:rPr>
        <w:t xml:space="preserve"> database is based on the European Commission’s ILCD Format (see </w:t>
      </w:r>
      <w:r w:rsidR="00354E30" w:rsidRPr="006C1A25">
        <w:rPr>
          <w:lang w:val="en-US"/>
        </w:rPr>
        <w:t xml:space="preserve"> the information provided at </w:t>
      </w:r>
      <w:hyperlink r:id="rId4" w:history="1">
        <w:r w:rsidR="006C1A25" w:rsidRPr="006C1A25">
          <w:rPr>
            <w:rStyle w:val="Link"/>
            <w:lang w:val="en-US"/>
          </w:rPr>
          <w:t>http://eplca.jrc.ec.europa.eu/LCDN/developer.xhtml</w:t>
        </w:r>
      </w:hyperlink>
      <w:r w:rsidRPr="006C1A25">
        <w:rPr>
          <w:lang w:val="en-US"/>
        </w:rPr>
        <w:t>).</w:t>
      </w:r>
    </w:p>
    <w:p w14:paraId="1CCFD3FC" w14:textId="77777777" w:rsidR="00711EA4" w:rsidRPr="006C1A25" w:rsidRDefault="00711EA4" w:rsidP="00C2069E">
      <w:pPr>
        <w:rPr>
          <w:lang w:val="en-US"/>
        </w:rPr>
      </w:pPr>
    </w:p>
    <w:p w14:paraId="418D7261" w14:textId="77777777" w:rsidR="00711EA4" w:rsidRDefault="00711EA4" w:rsidP="00711EA4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119C355C" wp14:editId="55B58BB8">
            <wp:extent cx="5756910" cy="3654386"/>
            <wp:effectExtent l="0" t="0" r="8890" b="381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AF7C" w14:textId="41792F5B" w:rsidR="00711EA4" w:rsidRPr="006C1A25" w:rsidRDefault="00711EA4" w:rsidP="00711EA4">
      <w:pPr>
        <w:pStyle w:val="Beschriftung"/>
        <w:jc w:val="center"/>
        <w:rPr>
          <w:lang w:val="en-US"/>
        </w:rPr>
      </w:pPr>
      <w:r w:rsidRPr="006C1A25">
        <w:rPr>
          <w:lang w:val="en-US"/>
        </w:rPr>
        <w:t xml:space="preserve">Figure </w:t>
      </w:r>
      <w:r w:rsidR="009361C3">
        <w:fldChar w:fldCharType="begin"/>
      </w:r>
      <w:r w:rsidR="009361C3" w:rsidRPr="006C1A25">
        <w:rPr>
          <w:lang w:val="en-US"/>
        </w:rPr>
        <w:instrText xml:space="preserve"> SEQ Figure \* ARABIC </w:instrText>
      </w:r>
      <w:r w:rsidR="009361C3">
        <w:fldChar w:fldCharType="separate"/>
      </w:r>
      <w:r w:rsidRPr="006C1A25">
        <w:rPr>
          <w:noProof/>
          <w:lang w:val="en-US"/>
        </w:rPr>
        <w:t>1</w:t>
      </w:r>
      <w:r w:rsidR="009361C3">
        <w:rPr>
          <w:noProof/>
        </w:rPr>
        <w:fldChar w:fldCharType="end"/>
      </w:r>
      <w:r w:rsidRPr="006C1A25">
        <w:rPr>
          <w:lang w:val="en-US"/>
        </w:rPr>
        <w:t xml:space="preserve"> - ILCD format data set types</w:t>
      </w:r>
    </w:p>
    <w:p w14:paraId="15066713" w14:textId="77777777" w:rsidR="00711EA4" w:rsidRPr="006C1A25" w:rsidRDefault="00711EA4" w:rsidP="00C2069E">
      <w:pPr>
        <w:rPr>
          <w:lang w:val="en-US"/>
        </w:rPr>
      </w:pPr>
    </w:p>
    <w:p w14:paraId="7C4D88F6" w14:textId="3B0512BF" w:rsidR="00C2069E" w:rsidRPr="006C1A25" w:rsidRDefault="00C2069E" w:rsidP="00C2069E">
      <w:pPr>
        <w:rPr>
          <w:rFonts w:ascii="Times New Roman" w:hAnsi="Times New Roman" w:cs="Times New Roman"/>
          <w:lang w:val="en-US"/>
        </w:rPr>
      </w:pPr>
      <w:r w:rsidRPr="006C1A25">
        <w:rPr>
          <w:lang w:val="en-US"/>
        </w:rPr>
        <w:t>Information that cannot be modelled using the ILCD Format’s native constructs is documented using extensions in the EPD namespace (</w:t>
      </w:r>
      <w:r w:rsidRPr="006C1A25">
        <w:rPr>
          <w:rStyle w:val="Hervorhebung"/>
          <w:lang w:val="en-US"/>
        </w:rPr>
        <w:t>http://www.iai.kit.edu/EPD/2013</w:t>
      </w:r>
      <w:r w:rsidRPr="006C1A25">
        <w:rPr>
          <w:rFonts w:ascii="Times New Roman" w:hAnsi="Times New Roman" w:cs="Times New Roman"/>
          <w:lang w:val="en-US"/>
        </w:rPr>
        <w:t xml:space="preserve"> namespace URI). These additional fields are documented in detail in the </w:t>
      </w:r>
      <w:r w:rsidRPr="006C1A25">
        <w:rPr>
          <w:rStyle w:val="Hervorhebung"/>
          <w:lang w:val="en-US"/>
        </w:rPr>
        <w:t>EPD_DataSet.html</w:t>
      </w:r>
      <w:r w:rsidRPr="006C1A25">
        <w:rPr>
          <w:rFonts w:ascii="Times New Roman" w:hAnsi="Times New Roman" w:cs="Times New Roman"/>
          <w:lang w:val="en-US"/>
        </w:rPr>
        <w:t xml:space="preserve"> and </w:t>
      </w:r>
      <w:r w:rsidRPr="006C1A25">
        <w:rPr>
          <w:rStyle w:val="Hervorhebung"/>
          <w:lang w:val="en-US"/>
        </w:rPr>
        <w:t>EPD_FlowDataSet.html</w:t>
      </w:r>
      <w:r w:rsidRPr="006C1A25">
        <w:rPr>
          <w:rFonts w:ascii="Times New Roman" w:hAnsi="Times New Roman" w:cs="Times New Roman"/>
          <w:lang w:val="en-US"/>
        </w:rPr>
        <w:t xml:space="preserve"> documents in the </w:t>
      </w:r>
      <w:r w:rsidRPr="006C1A25">
        <w:rPr>
          <w:rStyle w:val="Hervorhebung"/>
          <w:lang w:val="en-US"/>
        </w:rPr>
        <w:t>doc/schemadoc/</w:t>
      </w:r>
      <w:r w:rsidRPr="006C1A25">
        <w:rPr>
          <w:rFonts w:ascii="Times New Roman" w:hAnsi="Times New Roman" w:cs="Times New Roman"/>
          <w:lang w:val="en-US"/>
        </w:rPr>
        <w:t xml:space="preserve"> folder of the documentation package</w:t>
      </w:r>
      <w:r w:rsidR="00F97724" w:rsidRPr="006C1A25">
        <w:rPr>
          <w:rFonts w:ascii="Times New Roman" w:hAnsi="Times New Roman" w:cs="Times New Roman"/>
          <w:lang w:val="en-US"/>
        </w:rPr>
        <w:t>, where t</w:t>
      </w:r>
      <w:r w:rsidRPr="006C1A25">
        <w:rPr>
          <w:rFonts w:ascii="Times New Roman" w:hAnsi="Times New Roman" w:cs="Times New Roman"/>
          <w:lang w:val="en-US"/>
        </w:rPr>
        <w:t>hey are highlighted in a different color for better identification.</w:t>
      </w:r>
    </w:p>
    <w:p w14:paraId="5D21F51F" w14:textId="77777777" w:rsidR="00711EA4" w:rsidRPr="006C1A25" w:rsidRDefault="00711EA4" w:rsidP="00C2069E">
      <w:pPr>
        <w:rPr>
          <w:rFonts w:ascii="Times New Roman" w:hAnsi="Times New Roman" w:cs="Times New Roman"/>
          <w:lang w:val="en-US"/>
        </w:rPr>
      </w:pPr>
    </w:p>
    <w:p w14:paraId="79123CB6" w14:textId="77777777" w:rsidR="00711EA4" w:rsidRDefault="00711EA4" w:rsidP="00711EA4">
      <w:pPr>
        <w:keepNext/>
        <w:jc w:val="center"/>
      </w:pPr>
      <w:r>
        <w:rPr>
          <w:rFonts w:ascii="Times New Roman" w:hAnsi="Times New Roman" w:cs="Times New Roman"/>
          <w:noProof/>
          <w:lang w:eastAsia="de-DE"/>
        </w:rPr>
        <w:lastRenderedPageBreak/>
        <w:drawing>
          <wp:inline distT="0" distB="0" distL="0" distR="0" wp14:anchorId="0A24D6B1" wp14:editId="3CC422E3">
            <wp:extent cx="4526068" cy="3167000"/>
            <wp:effectExtent l="0" t="0" r="0" b="825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69" cy="3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8FD5" w14:textId="43B0AD21" w:rsidR="00711EA4" w:rsidRPr="006C1A25" w:rsidRDefault="00711EA4" w:rsidP="00711EA4">
      <w:pPr>
        <w:pStyle w:val="Beschriftung"/>
        <w:jc w:val="center"/>
        <w:rPr>
          <w:rFonts w:ascii="Times New Roman" w:hAnsi="Times New Roman" w:cs="Times New Roman"/>
          <w:lang w:val="en-US"/>
        </w:rPr>
      </w:pPr>
      <w:r w:rsidRPr="006C1A25">
        <w:rPr>
          <w:lang w:val="en-US"/>
        </w:rPr>
        <w:t xml:space="preserve">Figure </w:t>
      </w:r>
      <w:r w:rsidR="009361C3">
        <w:fldChar w:fldCharType="begin"/>
      </w:r>
      <w:r w:rsidR="009361C3" w:rsidRPr="006C1A25">
        <w:rPr>
          <w:lang w:val="en-US"/>
        </w:rPr>
        <w:instrText xml:space="preserve"> SEQ Figure \* ARABIC </w:instrText>
      </w:r>
      <w:r w:rsidR="009361C3">
        <w:fldChar w:fldCharType="separate"/>
      </w:r>
      <w:r w:rsidRPr="006C1A25">
        <w:rPr>
          <w:noProof/>
          <w:lang w:val="en-US"/>
        </w:rPr>
        <w:t>2</w:t>
      </w:r>
      <w:r w:rsidR="009361C3">
        <w:rPr>
          <w:noProof/>
        </w:rPr>
        <w:fldChar w:fldCharType="end"/>
      </w:r>
      <w:r w:rsidRPr="006C1A25">
        <w:rPr>
          <w:lang w:val="en-US"/>
        </w:rPr>
        <w:t xml:space="preserve"> - Extending the ILCD data format</w:t>
      </w:r>
    </w:p>
    <w:p w14:paraId="458C4B90" w14:textId="6BEE9C48" w:rsidR="00C2069E" w:rsidRPr="006C1A25" w:rsidRDefault="00711EA4" w:rsidP="00C2069E">
      <w:pPr>
        <w:rPr>
          <w:rFonts w:ascii="Times New Roman" w:hAnsi="Times New Roman" w:cs="Times New Roman"/>
          <w:lang w:val="en-US"/>
        </w:rPr>
      </w:pPr>
      <w:r w:rsidRPr="006C1A25">
        <w:rPr>
          <w:rFonts w:ascii="Times New Roman" w:hAnsi="Times New Roman" w:cs="Times New Roman"/>
          <w:lang w:val="en-US"/>
        </w:rPr>
        <w:br/>
      </w:r>
      <w:r w:rsidR="00C2069E" w:rsidRPr="006C1A25">
        <w:rPr>
          <w:rFonts w:ascii="Times New Roman" w:hAnsi="Times New Roman" w:cs="Times New Roman"/>
          <w:lang w:val="en-US"/>
        </w:rPr>
        <w:t xml:space="preserve">Sample documents which illustrate the various use cases are provided in the folder </w:t>
      </w:r>
      <w:r w:rsidR="00C2069E" w:rsidRPr="006C1A25">
        <w:rPr>
          <w:rStyle w:val="Hervorhebung"/>
          <w:lang w:val="en-US"/>
        </w:rPr>
        <w:t>sample_data</w:t>
      </w:r>
      <w:r w:rsidR="00C2069E" w:rsidRPr="006C1A25">
        <w:rPr>
          <w:rFonts w:ascii="Times New Roman" w:hAnsi="Times New Roman" w:cs="Times New Roman"/>
          <w:lang w:val="en-US"/>
        </w:rPr>
        <w:t xml:space="preserve">, as well as XSL stylesheets that can be used to view datasets in HTML representation directly in the browser. The underlying XML Schema documents are also provided in the folder </w:t>
      </w:r>
      <w:r w:rsidR="00C2069E" w:rsidRPr="006C1A25">
        <w:rPr>
          <w:rStyle w:val="Hervorhebung"/>
          <w:lang w:val="en-US"/>
        </w:rPr>
        <w:t>schemas</w:t>
      </w:r>
      <w:r w:rsidR="00C2069E" w:rsidRPr="006C1A25">
        <w:rPr>
          <w:rFonts w:ascii="Times New Roman" w:hAnsi="Times New Roman" w:cs="Times New Roman"/>
          <w:lang w:val="en-US"/>
        </w:rPr>
        <w:t>.</w:t>
      </w:r>
    </w:p>
    <w:p w14:paraId="323BB971" w14:textId="77777777" w:rsidR="00C2069E" w:rsidRPr="006C1A25" w:rsidRDefault="00C2069E" w:rsidP="00C2069E">
      <w:pPr>
        <w:rPr>
          <w:lang w:val="en-US"/>
        </w:rPr>
      </w:pPr>
    </w:p>
    <w:p w14:paraId="3845EDA2" w14:textId="77777777" w:rsidR="00C2069E" w:rsidRPr="006C1A25" w:rsidRDefault="00C2069E" w:rsidP="00C2069E">
      <w:pPr>
        <w:pStyle w:val="berschrift2"/>
        <w:rPr>
          <w:lang w:val="en-US"/>
        </w:rPr>
      </w:pPr>
      <w:r w:rsidRPr="006C1A25">
        <w:rPr>
          <w:lang w:val="en-US"/>
        </w:rPr>
        <w:t>Data Format – Concepts</w:t>
      </w:r>
    </w:p>
    <w:p w14:paraId="6DBA2190" w14:textId="77777777" w:rsidR="00C2069E" w:rsidRPr="006C1A25" w:rsidRDefault="00C2069E">
      <w:pPr>
        <w:rPr>
          <w:lang w:val="en-US"/>
        </w:rPr>
      </w:pPr>
      <w:r w:rsidRPr="006C1A25">
        <w:rPr>
          <w:lang w:val="en-US"/>
        </w:rPr>
        <w:t xml:space="preserve">For describing an EPD, the ILCD format’s „Process“ dataset is used. This holds the relevant metadat as well as the inventory results (in the </w:t>
      </w:r>
      <w:r w:rsidRPr="006C1A25">
        <w:rPr>
          <w:rStyle w:val="Hervorhebung"/>
          <w:lang w:val="en-US"/>
        </w:rPr>
        <w:t>exchanges</w:t>
      </w:r>
      <w:r w:rsidRPr="006C1A25">
        <w:rPr>
          <w:lang w:val="en-US"/>
        </w:rPr>
        <w:t xml:space="preserve"> section) and the impact assessment results (in the </w:t>
      </w:r>
      <w:r w:rsidRPr="006C1A25">
        <w:rPr>
          <w:rStyle w:val="Hervorhebung"/>
          <w:lang w:val="en-US"/>
        </w:rPr>
        <w:t>LCIAResults</w:t>
      </w:r>
      <w:r w:rsidRPr="006C1A25">
        <w:rPr>
          <w:lang w:val="en-US"/>
        </w:rPr>
        <w:t xml:space="preserve"> section) for all lifecycle stages of the product.</w:t>
      </w:r>
    </w:p>
    <w:p w14:paraId="18A6769E" w14:textId="77777777" w:rsidR="00C2069E" w:rsidRDefault="00FA6825">
      <w:r w:rsidRPr="006C1A25">
        <w:rPr>
          <w:lang w:val="en-US"/>
        </w:rPr>
        <w:t xml:space="preserve">The actual product is described as a „Flow“ dataset (of type „Product flow“) that is attached to the process as its reference flow. Hence, properties of the actual product, like material properties such as density etc., </w:t>
      </w:r>
      <w:r w:rsidR="00BD34F5" w:rsidRPr="006C1A25">
        <w:rPr>
          <w:lang w:val="en-US"/>
        </w:rPr>
        <w:t>can be included there</w:t>
      </w:r>
      <w:r w:rsidR="00F97724" w:rsidRPr="006C1A25">
        <w:rPr>
          <w:lang w:val="en-US"/>
        </w:rPr>
        <w:t>. For physical and chemical product properties, the MatML language (</w:t>
      </w:r>
      <w:hyperlink r:id="rId7" w:history="1">
        <w:r w:rsidR="00F97724" w:rsidRPr="006C1A25">
          <w:rPr>
            <w:rStyle w:val="Link"/>
            <w:lang w:val="en-US"/>
          </w:rPr>
          <w:t>http://www.matml.org/</w:t>
        </w:r>
      </w:hyperlink>
      <w:r w:rsidR="00F97724" w:rsidRPr="006C1A25">
        <w:rPr>
          <w:lang w:val="en-US"/>
        </w:rPr>
        <w:t xml:space="preserve">) can be used. </w:t>
      </w:r>
      <w:r w:rsidR="00F97724">
        <w:t>See the example datasets for how to do this.</w:t>
      </w:r>
    </w:p>
    <w:p w14:paraId="335A43B6" w14:textId="77777777" w:rsidR="00711EA4" w:rsidRDefault="003C6D57" w:rsidP="00711EA4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1626FA8B" wp14:editId="1AAFD66D">
            <wp:extent cx="4068868" cy="3242990"/>
            <wp:effectExtent l="0" t="0" r="0" b="825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35" cy="32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42A6" w14:textId="1DA46BD3" w:rsidR="003C6D57" w:rsidRPr="006C1A25" w:rsidRDefault="00711EA4" w:rsidP="00711EA4">
      <w:pPr>
        <w:pStyle w:val="Beschriftung"/>
        <w:jc w:val="center"/>
        <w:rPr>
          <w:lang w:val="en-US"/>
        </w:rPr>
      </w:pPr>
      <w:r w:rsidRPr="006C1A25">
        <w:rPr>
          <w:lang w:val="en-US"/>
        </w:rPr>
        <w:t xml:space="preserve">Figure </w:t>
      </w:r>
      <w:r w:rsidR="009361C3">
        <w:fldChar w:fldCharType="begin"/>
      </w:r>
      <w:r w:rsidR="009361C3" w:rsidRPr="006C1A25">
        <w:rPr>
          <w:lang w:val="en-US"/>
        </w:rPr>
        <w:instrText xml:space="preserve"> SEQ Figure \* ARABIC </w:instrText>
      </w:r>
      <w:r w:rsidR="009361C3">
        <w:fldChar w:fldCharType="separate"/>
      </w:r>
      <w:r w:rsidRPr="006C1A25">
        <w:rPr>
          <w:noProof/>
          <w:lang w:val="en-US"/>
        </w:rPr>
        <w:t>3</w:t>
      </w:r>
      <w:r w:rsidR="009361C3">
        <w:rPr>
          <w:noProof/>
        </w:rPr>
        <w:fldChar w:fldCharType="end"/>
      </w:r>
      <w:r w:rsidRPr="006C1A25">
        <w:rPr>
          <w:lang w:val="en-US"/>
        </w:rPr>
        <w:t xml:space="preserve"> - Decoupling of product information</w:t>
      </w:r>
    </w:p>
    <w:p w14:paraId="4521550E" w14:textId="66C1D7B5" w:rsidR="00F97724" w:rsidRPr="006C1A25" w:rsidRDefault="003C6D57">
      <w:pPr>
        <w:rPr>
          <w:lang w:val="en-US"/>
        </w:rPr>
      </w:pPr>
      <w:r w:rsidRPr="006C1A25">
        <w:rPr>
          <w:lang w:val="en-US"/>
        </w:rPr>
        <w:br/>
      </w:r>
      <w:r w:rsidR="00F97724" w:rsidRPr="006C1A25">
        <w:rPr>
          <w:lang w:val="en-US"/>
        </w:rPr>
        <w:t>Furthermore, the decoupling of product information allows for modelling hierarchies of products where a number of actual, vendor specific products may represent the same generic product. This relationship is expressed by a reference documented in the „</w:t>
      </w:r>
      <w:r w:rsidR="00F97724" w:rsidRPr="006C1A25">
        <w:rPr>
          <w:rStyle w:val="Hervorhebung"/>
          <w:lang w:val="en-US"/>
        </w:rPr>
        <w:t>is A</w:t>
      </w:r>
      <w:r w:rsidR="00F97724" w:rsidRPr="006C1A25">
        <w:rPr>
          <w:lang w:val="en-US"/>
        </w:rPr>
        <w:t>“-field in a product flow.</w:t>
      </w:r>
    </w:p>
    <w:p w14:paraId="014A58EB" w14:textId="77777777" w:rsidR="00711EA4" w:rsidRDefault="003C6D57" w:rsidP="00711EA4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6EFB3E20" wp14:editId="299A72B0">
            <wp:extent cx="3840268" cy="3540437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52" cy="35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C2C5" w14:textId="4FF24863" w:rsidR="00E42112" w:rsidRPr="006C1A25" w:rsidRDefault="00711EA4" w:rsidP="00711EA4">
      <w:pPr>
        <w:pStyle w:val="Beschriftung"/>
        <w:jc w:val="center"/>
        <w:rPr>
          <w:lang w:val="en-US"/>
        </w:rPr>
      </w:pPr>
      <w:r w:rsidRPr="006C1A25">
        <w:rPr>
          <w:lang w:val="en-US"/>
        </w:rPr>
        <w:t xml:space="preserve">Figure </w:t>
      </w:r>
      <w:r w:rsidR="009361C3">
        <w:fldChar w:fldCharType="begin"/>
      </w:r>
      <w:r w:rsidR="009361C3" w:rsidRPr="006C1A25">
        <w:rPr>
          <w:lang w:val="en-US"/>
        </w:rPr>
        <w:instrText xml:space="preserve"> SEQ Figu</w:instrText>
      </w:r>
      <w:r w:rsidR="009361C3" w:rsidRPr="006C1A25">
        <w:rPr>
          <w:lang w:val="en-US"/>
        </w:rPr>
        <w:instrText xml:space="preserve">re \* ARABIC </w:instrText>
      </w:r>
      <w:r w:rsidR="009361C3">
        <w:fldChar w:fldCharType="separate"/>
      </w:r>
      <w:r w:rsidRPr="006C1A25">
        <w:rPr>
          <w:noProof/>
          <w:lang w:val="en-US"/>
        </w:rPr>
        <w:t>4</w:t>
      </w:r>
      <w:r w:rsidR="009361C3">
        <w:rPr>
          <w:noProof/>
        </w:rPr>
        <w:fldChar w:fldCharType="end"/>
      </w:r>
      <w:r w:rsidRPr="006C1A25">
        <w:rPr>
          <w:lang w:val="en-US"/>
        </w:rPr>
        <w:t xml:space="preserve"> - "is a"-references</w:t>
      </w:r>
    </w:p>
    <w:p w14:paraId="72E4BA62" w14:textId="77777777" w:rsidR="00E42112" w:rsidRPr="006C1A25" w:rsidRDefault="00E421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C1A25">
        <w:rPr>
          <w:lang w:val="en-US"/>
        </w:rPr>
        <w:br w:type="page"/>
      </w:r>
    </w:p>
    <w:p w14:paraId="4BCF31FE" w14:textId="77777777" w:rsidR="00E42112" w:rsidRPr="006C1A25" w:rsidRDefault="00E42112" w:rsidP="00E42112">
      <w:pPr>
        <w:pStyle w:val="berschrift2"/>
        <w:rPr>
          <w:lang w:val="en-US"/>
        </w:rPr>
      </w:pPr>
      <w:r w:rsidRPr="006C1A25">
        <w:rPr>
          <w:lang w:val="en-US"/>
        </w:rPr>
        <w:t>Data Exchange via RESTful Service Interface</w:t>
      </w:r>
    </w:p>
    <w:p w14:paraId="66BDC8CB" w14:textId="5DDFFC75" w:rsidR="00E42112" w:rsidRPr="006C1A25" w:rsidRDefault="009361C3" w:rsidP="00E42112">
      <w:pPr>
        <w:rPr>
          <w:lang w:val="en-US"/>
        </w:rPr>
      </w:pPr>
      <w:r>
        <w:rPr>
          <w:lang w:val="en-US"/>
        </w:rPr>
        <w:t>If t</w:t>
      </w:r>
      <w:r w:rsidR="00E42112" w:rsidRPr="006C1A25">
        <w:rPr>
          <w:lang w:val="en-US"/>
        </w:rPr>
        <w:t xml:space="preserve">he </w:t>
      </w:r>
      <w:r>
        <w:rPr>
          <w:lang w:val="en-US"/>
        </w:rPr>
        <w:t xml:space="preserve">free and open source </w:t>
      </w:r>
      <w:r w:rsidR="00E42112" w:rsidRPr="006C1A25">
        <w:rPr>
          <w:lang w:val="en-US"/>
        </w:rPr>
        <w:t>soda4LCA</w:t>
      </w:r>
      <w:r>
        <w:rPr>
          <w:lang w:val="en-US"/>
        </w:rPr>
        <w:t xml:space="preserve"> </w:t>
      </w:r>
      <w:r w:rsidR="00E42112" w:rsidRPr="006C1A25">
        <w:rPr>
          <w:lang w:val="en-US"/>
        </w:rPr>
        <w:t>(</w:t>
      </w:r>
      <w:hyperlink r:id="rId10" w:history="1">
        <w:r w:rsidR="00E42112" w:rsidRPr="006C1A25">
          <w:rPr>
            <w:rStyle w:val="Link"/>
            <w:lang w:val="en-US"/>
          </w:rPr>
          <w:t>http://www.iai.kit.edu/soda4LCA/</w:t>
        </w:r>
      </w:hyperlink>
      <w:r w:rsidR="00E42112" w:rsidRPr="006C1A25">
        <w:rPr>
          <w:lang w:val="en-US"/>
        </w:rPr>
        <w:t xml:space="preserve">) software </w:t>
      </w:r>
      <w:r>
        <w:rPr>
          <w:lang w:val="en-US"/>
        </w:rPr>
        <w:t xml:space="preserve">is used </w:t>
      </w:r>
      <w:r w:rsidR="00E42112" w:rsidRPr="006C1A25">
        <w:rPr>
          <w:lang w:val="en-US"/>
        </w:rPr>
        <w:t>as technical platform</w:t>
      </w:r>
      <w:r>
        <w:rPr>
          <w:lang w:val="en-US"/>
        </w:rPr>
        <w:t xml:space="preserve"> to distribute data</w:t>
      </w:r>
      <w:r w:rsidR="00E42112" w:rsidRPr="006C1A25">
        <w:rPr>
          <w:lang w:val="en-US"/>
        </w:rPr>
        <w:t xml:space="preserve">, datasets can be retrieved from or submitted to the database directly from other applications via the software’s RESTful service interface. The API documentation is provided in the folder </w:t>
      </w:r>
      <w:r w:rsidR="00E42112" w:rsidRPr="006C1A25">
        <w:rPr>
          <w:rStyle w:val="Hervorhebung"/>
          <w:lang w:val="en-US"/>
        </w:rPr>
        <w:t>doc</w:t>
      </w:r>
      <w:r w:rsidR="00E42112" w:rsidRPr="006C1A25">
        <w:rPr>
          <w:lang w:val="en-US"/>
        </w:rPr>
        <w:t xml:space="preserve"> in HTML and PDF format.</w:t>
      </w:r>
    </w:p>
    <w:p w14:paraId="19CD06B0" w14:textId="12809F21" w:rsidR="00E42112" w:rsidRPr="006C1A25" w:rsidRDefault="00E42112" w:rsidP="00E42112">
      <w:pPr>
        <w:rPr>
          <w:lang w:val="en-US"/>
        </w:rPr>
      </w:pPr>
      <w:r w:rsidRPr="006C1A25">
        <w:rPr>
          <w:lang w:val="en-US"/>
        </w:rPr>
        <w:t>For reading data from the database, no authentication is required. Authentication credentials requ</w:t>
      </w:r>
      <w:bookmarkStart w:id="0" w:name="_GoBack"/>
      <w:bookmarkEnd w:id="0"/>
      <w:r w:rsidRPr="006C1A25">
        <w:rPr>
          <w:lang w:val="en-US"/>
        </w:rPr>
        <w:t xml:space="preserve">ired for sumbission of datasets can be obtained from </w:t>
      </w:r>
      <w:r w:rsidR="009361C3">
        <w:rPr>
          <w:lang w:val="en-US"/>
        </w:rPr>
        <w:t>the operator of the respective node</w:t>
      </w:r>
      <w:r w:rsidRPr="006C1A25">
        <w:rPr>
          <w:lang w:val="en-US"/>
        </w:rPr>
        <w:t>.</w:t>
      </w:r>
    </w:p>
    <w:sectPr w:rsidR="00E42112" w:rsidRPr="006C1A25" w:rsidSect="0072267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9E"/>
    <w:rsid w:val="0011065A"/>
    <w:rsid w:val="00191041"/>
    <w:rsid w:val="00354E30"/>
    <w:rsid w:val="003C6D57"/>
    <w:rsid w:val="00506019"/>
    <w:rsid w:val="006C1A25"/>
    <w:rsid w:val="00711EA4"/>
    <w:rsid w:val="00722672"/>
    <w:rsid w:val="009361C3"/>
    <w:rsid w:val="00AB4B8A"/>
    <w:rsid w:val="00BD34F5"/>
    <w:rsid w:val="00C2069E"/>
    <w:rsid w:val="00E42112"/>
    <w:rsid w:val="00F97724"/>
    <w:rsid w:val="00FA6825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316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0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C20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-Standardschriftart"/>
    <w:uiPriority w:val="99"/>
    <w:unhideWhenUsed/>
    <w:rsid w:val="00C2069E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C2069E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354E30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D5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D57"/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11EA4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plca.jrc.ec.europa.eu/LCDN/developer.x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matml.org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iai.kit.edu/soda4LCA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2743</Characters>
  <Application>Microsoft Macintosh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Kusche</dc:creator>
  <cp:keywords/>
  <dc:description/>
  <cp:lastModifiedBy>Oliver Kusche</cp:lastModifiedBy>
  <cp:revision>7</cp:revision>
  <dcterms:created xsi:type="dcterms:W3CDTF">2014-01-08T13:06:00Z</dcterms:created>
  <dcterms:modified xsi:type="dcterms:W3CDTF">2017-03-20T14:09:00Z</dcterms:modified>
</cp:coreProperties>
</file>