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01 - Gedetailleerd Specificatiedocument voor NEXA</w:t>
        <w:br w:type="textWrapping"/>
        <w:t xml:space="preserve">Status: IN PROGRESS - (Basis Supabase DB Structuur &amp; Beveiliging Lokaal OK)</w:t>
        <w:br w:type="textWrapping"/>
        <w:t xml:space="preserve">Inhoudsopgave: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Use Cases per Doelgroep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Functionele Requirements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Non-Functionele Requirements (TODO)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Acceptatiecriteria</w:t>
      </w:r>
    </w:p>
    <w:p w:rsidR="00000000" w:rsidDel="00000000" w:rsidP="00000000" w:rsidRDefault="00000000" w:rsidRPr="00000000" w14:paraId="00000006">
      <w:pPr>
        <w:jc w:val="both"/>
        <w:rPr>
          <w:b w:val="1"/>
          <w:color w:val="e2e2e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1. Use Cases per Doelgroep</w:t>
        <w:br w:type="textWrapping"/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(Deze sectie bevat geen implementeerbare requirements, dus geen statusindicatoren hier)</w:t>
        <w:br w:type="textWrapping"/>
      </w: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08">
      <w:pPr>
        <w:jc w:val="both"/>
        <w:rPr>
          <w:b w:val="1"/>
          <w:color w:val="e2e2e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2. Functionele Requirements</w:t>
        <w:br w:type="textWrapping"/>
        <w:t xml:space="preserve">Deze sectie beschrijft de specifieke functionaliteiten die NEXA moet bieden.</w:t>
      </w:r>
    </w:p>
    <w:p w:rsidR="00000000" w:rsidDel="00000000" w:rsidP="00000000" w:rsidRDefault="00000000" w:rsidRPr="00000000" w14:paraId="0000000A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2.1 Authenticatie en Autorisatie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FR-AUTH-01: Gebruikers moeten zich kunnen registreren voor een NEXA account (bijv. met e-mail/wachtwoord of via OAuth provider zoals Google/GitHub).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FR-AUTH-02: Geregistreerde gebruikers moeten kunnen inloggen op het NEXA platform.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FR-AUTH-03: Gebruikers moeten hun NEXA account kunnen koppelen aan één of meerdere Salesforce orgs via een veilige OAuth 2.0 PKCE flow.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Basis Geïmplementeerd] FR-AUTH-04: Toegang tot metadata en analyses moet beperkt zijn tot de gebruiker(s) die toegang hebben tot de gekoppelde Salesforce org binnen NEXA (basis Role-Based Access Control - RBAC).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(RLS Policies in DB zijn aangemaakt)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FR-AUTH-05: Salesforce credentials (tokens) moeten veilig (encrypted) worden opgeslagen en beheerd.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(Kolommen in DB zijn aangemaakt, encryptie logica nog niet)</w:t>
      </w:r>
    </w:p>
    <w:p w:rsidR="00000000" w:rsidDel="00000000" w:rsidP="00000000" w:rsidRDefault="00000000" w:rsidRPr="00000000" w14:paraId="00000010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2.2 Metadata Pipeline (Fetch, Parse, Store)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FR-PIPE-01: Het systeem moet, op verzoek van de gebruiker, verbinding maken met een gekoppelde Salesforce org en metadata ophalen via de Salesforce Metadata API en/of Tooling API.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FR-PIPE-02: Het systeem moet de volgende Salesforce metadata types kunnen parsen (MVP focus): ...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(Types List)</w:t>
      </w: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 ...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FR-PIPE-03: Het systeem moet de geparste metadata omzetten naar een vooraf gedefinieerde, consistente structuur per component type ..., geschikt voor opslag in Supabase en latere verwerking.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FR-PIPE-04: Het systeem moet de gestructureerde, geparste metadata opslaan in de Supabase database, gekoppeld aan de specifieke Salesforce org en een uniek "snapshot" ID.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(Tabellen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5"/>
          <w:sz w:val="20"/>
          <w:szCs w:val="20"/>
          <w:rtl w:val="0"/>
        </w:rPr>
        <w:t xml:space="preserve">parsed_components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5"/>
          <w:sz w:val="20"/>
          <w:szCs w:val="20"/>
          <w:rtl w:val="0"/>
        </w:rPr>
        <w:t xml:space="preserve">parsed_relationships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 bestaan)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FR-PIPE-05: Het systeem moet de gebruiker feedback geven over de voortgang en status ... van de metadata pipeline run.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FR-PIPE-06: Het systeem moet om kunnen gaan met time-outs of errors tijdens het ophalen/parsen en deze loggen.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FR-PIPE-07: Gebruikers moeten een lijst kunnen zien van recent aangemaakte metadata snapshots voor hun gekoppelde orgs.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(Vereist API &amp; Frontend)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[Conceptueel OK] FR-PIPE-08: Elk metadata snapshot vertegenwoordigt de staat van de verbonden Salesforce org op het moment van de 'Fetch' actie. ...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(Architectuur principe)</w:t>
      </w:r>
    </w:p>
    <w:p w:rsidR="00000000" w:rsidDel="00000000" w:rsidP="00000000" w:rsidRDefault="00000000" w:rsidRPr="00000000" w14:paraId="00000019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2.3 Knowledge Graph (Population &amp; Querying)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FR-GRAPH-01: Het systeem moet, op verzoek van de gebruiker voor een specifieke snapshot, de opgeslagen gestructureerde metadata uit Supabase lezen.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FR-GRAPH-02: Het systeem moet de gelezen metadata omzetten naar een graph-structuur ...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FR-GRAPH-03: Het systeem moet deze graph-structuur populeren (aanmaken/updaten) in de Neo4j database, gekoppeld aan het snapshot ID.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FR-GRAPH-04: Het systeem moet Neo4j queries kunnen uitvoeren om afhankelijkheden en impactpaden te traceren ...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FR-GRAPH-05: Het systeem moet basisstatistieken over de graph kunnen leveren ...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FR-GRAPH-06: Het systeem moet specifieke analyse-queries op de Neo4j graph kunnen uitvoeren om potentiële problemen te detecteren ...</w:t>
      </w:r>
    </w:p>
    <w:p w:rsidR="00000000" w:rsidDel="00000000" w:rsidP="00000000" w:rsidRDefault="00000000" w:rsidRPr="00000000" w14:paraId="00000020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2.4 Frontend &amp; Visualisatie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Basis Geïmplementeerd] FR-UI-01: De gebruiker moet een dashboard zien met een overzicht van gekoppelde orgs en recente snapshots/analyses.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(Basis layout en OrgSelector (mock) bestaan)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FR-UI-02: De gebruiker moet de metadata pipeline ... kunnen starten vanuit de UI.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FR-UI-03: Het systeem moet een interactieve visualisatie van de Neo4j knowledge graph tonen ...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FR-UI-04: De graph visualisatie moet basisinteracties ondersteunen ...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FR-UI-05: Bij selectie van een node ... moet de gebruiker basisinformatie ... kunnen zien ...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FR-UI-06: (V1+) De gebruiker moet kunnen filteren in de graph visualisatie ...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FR-UI-07: (V1+) De gebruiker moet aantekeningen kunnen maken ...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FR-UI-08: De gebruiker moet de resultaten van uitgevoerde analyses ... kunnen inzien in de UI ...</w:t>
      </w:r>
    </w:p>
    <w:p w:rsidR="00000000" w:rsidDel="00000000" w:rsidP="00000000" w:rsidRDefault="00000000" w:rsidRPr="00000000" w14:paraId="00000029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2.6 AI Reasoning &amp; Explainability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FR-AI-01: De gebruiker moet via een "AI Assistant" interface vragen kunnen stellen ...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FR-AI-02: Het systeem moet de gebruikersvraag interpreteren en vertalen naar relevante Neo4j queries ...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FR-AI-03: Het systeem moet de resultaten van de Neo4j query ... naar een LLM ... sturen ...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FR-AI-04: Het systeem moet het antwoord van de LLM ... presenteren aan de gebruiker ...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FR-AI-05: (V1) Het systeem moet een basis risicoscore kunnen berekenen ...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FR-AI-06: (V1) Gebruikers moeten feedback kunnen geven ...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FR-AI-07: (V1) De gebruikersfeedback moet worden opgeslagen in Supabase ...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(Tabel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5"/>
          <w:sz w:val="20"/>
          <w:szCs w:val="20"/>
          <w:rtl w:val="0"/>
        </w:rPr>
        <w:t xml:space="preserve">ai_interactions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 bestaat)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FR-AI-08: (V1+) Het systeem moet ... AI-gegenereerde suggesties voor remediatie kunnen geven.</w:t>
      </w:r>
    </w:p>
    <w:p w:rsidR="00000000" w:rsidDel="00000000" w:rsidP="00000000" w:rsidRDefault="00000000" w:rsidRPr="00000000" w14:paraId="00000032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2.7 Integraties &amp; API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FR-API-01: Er moet een interne API (gehost op Supabase Functions) beschikbaar zijn ...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FR-API-02: (V2+) Er moeten externe API endpoints (REST/GraphQL) beschikbaar komen ...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FR-API-03: (V2+) Het systeem moet via webhooks kunnen reageren ...</w:t>
      </w:r>
    </w:p>
    <w:p w:rsidR="00000000" w:rsidDel="00000000" w:rsidP="00000000" w:rsidRDefault="00000000" w:rsidRPr="00000000" w14:paraId="00000036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2.8 Analyse Resultaten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FR-RSLT-01: De resultaten van alle uitgevoerde analyses ... moeten worden opgeslagen in Supabase ...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(Tabel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5"/>
          <w:sz w:val="20"/>
          <w:szCs w:val="20"/>
          <w:rtl w:val="0"/>
        </w:rPr>
        <w:t xml:space="preserve">analysis_results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 bestaat)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[Conceptueel OK] FR-RSLT-02: Alle analyses ... worden uitgevoerd binnen de context van één specifieke ... metadata snapshot.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(Architectuur principe)</w:t>
      </w:r>
    </w:p>
    <w:p w:rsidR="00000000" w:rsidDel="00000000" w:rsidP="00000000" w:rsidRDefault="00000000" w:rsidRPr="00000000" w14:paraId="00000039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2.9 Snapshot beheer en vergelijken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FR-COMP-01 (V2 Feature): Het systeem moet gebruikers in staat stellen om twee metadata snapshots met elkaar te vergelijken ...</w:t>
      </w:r>
    </w:p>
    <w:p w:rsidR="00000000" w:rsidDel="00000000" w:rsidP="00000000" w:rsidRDefault="00000000" w:rsidRPr="00000000" w14:paraId="0000003B">
      <w:pPr>
        <w:jc w:val="both"/>
        <w:rPr>
          <w:b w:val="1"/>
          <w:color w:val="e2e2e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3. Non-Functionele Requirements (TODO)</w:t>
        <w:br w:type="textWrapping"/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(Nog geen status hier, deze worden relevant tijdens/na implementatie)</w:t>
        <w:br w:type="textWrapping"/>
      </w: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3D">
      <w:pPr>
        <w:jc w:val="both"/>
        <w:rPr>
          <w:b w:val="1"/>
          <w:color w:val="e2e2e5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4. Acceptatiecriteria</w:t>
        <w:br w:type="textWrapping"/>
        <w:t xml:space="preserve">Deze sectie definieert de specifieke voorwaarden waaronder een Functionele Requirement als succesvol geïmplementeerd wordt beschouwd.</w:t>
      </w:r>
    </w:p>
    <w:p w:rsidR="00000000" w:rsidDel="00000000" w:rsidP="00000000" w:rsidRDefault="00000000" w:rsidRPr="00000000" w14:paraId="0000003F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FR-AUTH-03 (Salesforce Org Koppelen):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AC-AUTH-03-01 (Start Koppeling): ...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AC-AUTH-03-02 (Succesvolle Autorisatie): ...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(Connectie tabel bestaat)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AC-AUTH-03-03 (Veilige Opslag): ... </w:t>
      </w:r>
      <w:r w:rsidDel="00000000" w:rsidR="00000000" w:rsidRPr="00000000">
        <w:rPr>
          <w:b w:val="1"/>
          <w:i w:val="1"/>
          <w:color w:val="212125"/>
          <w:sz w:val="21"/>
          <w:szCs w:val="21"/>
          <w:rtl w:val="0"/>
        </w:rPr>
        <w:t xml:space="preserve">(Kolommen voor tokens bestaan, encryptie logica niet)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AC-AUTH-03-04 (Foutafhandeling): ...</w:t>
      </w:r>
    </w:p>
    <w:p w:rsidR="00000000" w:rsidDel="00000000" w:rsidP="00000000" w:rsidRDefault="00000000" w:rsidRPr="00000000" w14:paraId="00000044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FR-PIPE-04 (Metadata Opslag in Supabase):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AC-PIPE-04-01 (Data Aanwezig): ...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AC-PIPE-04-02 (Structuur Correct): ...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AC-PIPE-04-03 (Relatie Consistentie): ...</w:t>
      </w:r>
    </w:p>
    <w:p w:rsidR="00000000" w:rsidDel="00000000" w:rsidP="00000000" w:rsidRDefault="00000000" w:rsidRPr="00000000" w14:paraId="00000048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FR-GRAPH-03 (Graph Populatie in Neo4j):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AC-GRAPH-03-01 (Nodes Aangemaakt): ...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AC-GRAPH-03-02 (Relaties Aangemaakt): ...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AC-GRAPH-03-03 (Idempotentie): ...</w:t>
      </w:r>
    </w:p>
    <w:p w:rsidR="00000000" w:rsidDel="00000000" w:rsidP="00000000" w:rsidRDefault="00000000" w:rsidRPr="00000000" w14:paraId="0000004C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FR-UI-03 &amp; FR-UI-04 (Basis Graph Visualisatie):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AC-UI-03-01 (Weergave na Build): ...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AC-UI-04-01 (Zoom/Pan): ...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AC-UI-04-02 (Node Selectie): ...</w:t>
      </w:r>
    </w:p>
    <w:p w:rsidR="00000000" w:rsidDel="00000000" w:rsidP="00000000" w:rsidRDefault="00000000" w:rsidRPr="00000000" w14:paraId="00000050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FR-AI-01 &amp; FR-AI-04 (AI Vraag &amp; Antwoord):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AC-AI-01-01 (Vraag Stellen): ...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AC-AI-04-01 (Antwoord Ontvangen): ...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AC-AI-04-02 (Loading Indicator): ...</w:t>
      </w:r>
    </w:p>
    <w:p w:rsidR="00000000" w:rsidDel="00000000" w:rsidP="00000000" w:rsidRDefault="00000000" w:rsidRPr="00000000" w14:paraId="00000054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FR-GRAPH-06 (Detectie Problemen - bijv. Flow Inconsistenties):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AC-GRAPH-06-01 (Start Analyse): ...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AC-GRAPH-06-02 (Detectie - Positief Scenario): ...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AC-GRAPH-06-03 (Detectie - Negatief Scenario): ...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AC-GRAPH-06-04 (Resultaat Structuur): ...</w:t>
      </w:r>
    </w:p>
    <w:p w:rsidR="00000000" w:rsidDel="00000000" w:rsidP="00000000" w:rsidRDefault="00000000" w:rsidRPr="00000000" w14:paraId="00000059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FR-RSLT-01 (Opslag Analyse Resultaten):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AC-RSLT-01-01 (Opslag na Analyse): ...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AC-RSLT-01-02 (Koppeling Data): ...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5"/>
          <w:sz w:val="21"/>
          <w:szCs w:val="21"/>
          <w:rtl w:val="0"/>
        </w:rPr>
        <w:t xml:space="preserve">Status: [✓ Schema Gedefinieerd] AC-RSLT-01-03 (Geen Resultaten): ...</w:t>
      </w:r>
    </w:p>
    <w:p w:rsidR="00000000" w:rsidDel="00000000" w:rsidP="00000000" w:rsidRDefault="00000000" w:rsidRPr="00000000" w14:paraId="0000005D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FR-UI-08 (Weergave Analyse Resultaten):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AC-UI-08-01 (Beschikbaarheid Resultaten): ...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AC-UI-08-02 (Weergave Lijst): ...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AC-UI-08-03 (Duidelijkheid): ...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AC-UI-08-04 (Geen Resultaten Weergave): ...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AC-UI-08-05 (Navigatie - Optioneel V1+): ...</w:t>
      </w:r>
    </w:p>
    <w:p w:rsidR="00000000" w:rsidDel="00000000" w:rsidP="00000000" w:rsidRDefault="00000000" w:rsidRPr="00000000" w14:paraId="00000063">
      <w:pPr>
        <w:shd w:fill="ffffff" w:val="clear"/>
        <w:spacing w:after="280" w:before="220" w:line="342.85714285714283" w:lineRule="auto"/>
        <w:jc w:val="both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FR-AI-02 FR-AI-03 FR-AI-04 (AI Assistant testen)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AC-AI-02-01 (Query Vertaling - Impact Vraag): ...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AC-AI-03-01 (LLM Input): ...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AC-AI-04-03 (Geen Impact Gevonden): ...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line="342.85714285714283" w:lineRule="auto"/>
        <w:ind w:left="720" w:hanging="360"/>
        <w:rPr>
          <w:b w:val="1"/>
          <w:color w:val="212125"/>
          <w:sz w:val="21"/>
          <w:szCs w:val="21"/>
        </w:rPr>
      </w:pPr>
      <w:r w:rsidDel="00000000" w:rsidR="00000000" w:rsidRPr="00000000">
        <w:rPr>
          <w:b w:val="1"/>
          <w:color w:val="212125"/>
          <w:sz w:val="21"/>
          <w:szCs w:val="21"/>
          <w:rtl w:val="0"/>
        </w:rPr>
        <w:t xml:space="preserve">Status: [ ] Niet Gestart AC-AI-04-04 (Foutafhandeling LLM): ...</w:t>
      </w:r>
    </w:p>
    <w:p w:rsidR="00000000" w:rsidDel="00000000" w:rsidP="00000000" w:rsidRDefault="00000000" w:rsidRPr="00000000" w14:paraId="00000068">
      <w:pPr>
        <w:jc w:val="both"/>
        <w:rPr>
          <w:b w:val="1"/>
          <w:color w:val="e2e2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