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5439" w:rsidRDefault="00285439" w:rsidP="00285439">
      <w:pPr>
        <w:pStyle w:val="Heading1"/>
      </w:pPr>
      <w:r>
        <w:t>FG 320</w:t>
      </w:r>
    </w:p>
    <w:p w:rsidR="00285439" w:rsidRDefault="00285439" w:rsidP="00285439">
      <w:pPr>
        <w:pStyle w:val="Heading2"/>
      </w:pPr>
      <w:r>
        <w:t>Flexible Pure Graphite Sheet for High-Temperature and High-Pressure Sealing</w:t>
      </w:r>
    </w:p>
    <w:p w:rsidR="00285439" w:rsidRDefault="00285439" w:rsidP="00285439">
      <w:pPr>
        <w:pStyle w:val="NormalWeb"/>
      </w:pPr>
      <w:r>
        <w:rPr>
          <w:rStyle w:val="Strong"/>
        </w:rPr>
        <w:t>FG 320</w:t>
      </w:r>
      <w:r>
        <w:t xml:space="preserve"> is manufactured from exfoliated graphite. During the initial exfoliation process, graphite undergoes acid treatment; however, all residual acids are thoroughly removed using demineralized (DM) water. The subsequent manufacturing process is entirely mechanical and does not involve the addition of binders, fillers, oils, or other additives.</w:t>
      </w:r>
    </w:p>
    <w:p w:rsidR="00285439" w:rsidRDefault="00285439" w:rsidP="00285439">
      <w:pPr>
        <w:pStyle w:val="NormalWeb"/>
      </w:pPr>
      <w:r>
        <w:t xml:space="preserve">The sheet consists of </w:t>
      </w:r>
      <w:r>
        <w:rPr>
          <w:rStyle w:val="Strong"/>
        </w:rPr>
        <w:t>99</w:t>
      </w:r>
      <w:r w:rsidR="00DB2F81">
        <w:rPr>
          <w:rStyle w:val="Strong"/>
        </w:rPr>
        <w:t>%</w:t>
      </w:r>
      <w:r>
        <w:rPr>
          <w:rStyle w:val="Strong"/>
        </w:rPr>
        <w:t xml:space="preserve"> pure carbon graphite</w:t>
      </w:r>
      <w:r>
        <w:t>, providing exceptional sealing performance in demanding high-temperature and high-pressure applications. Its highly resilient structure enables it to conform to flange irregularities and surface imperfections, ensuring reliable sealing performance.</w:t>
      </w:r>
    </w:p>
    <w:p w:rsidR="00285439" w:rsidRDefault="00285439" w:rsidP="00285439">
      <w:pPr>
        <w:pStyle w:val="NormalWeb"/>
      </w:pPr>
      <w:r>
        <w:t>FG 320 is suitable for use with metallic, glass, and enamel flanges and is designed to facilitate easy maintenance and gasket replacement. The material remains dimensionally stable under pressure fluctuations and is also suitable for cryogenic services.</w:t>
      </w:r>
    </w:p>
    <w:p w:rsidR="00285439" w:rsidRDefault="00E36557" w:rsidP="00285439">
      <w:r>
        <w:pict>
          <v:rect id="_x0000_i1025" style="width:0;height:1.5pt" o:hralign="center" o:hrstd="t" o:hr="t" fillcolor="#a0a0a0" stroked="f"/>
        </w:pict>
      </w:r>
    </w:p>
    <w:p w:rsidR="00285439" w:rsidRDefault="00285439" w:rsidP="00285439">
      <w:pPr>
        <w:pStyle w:val="Heading2"/>
      </w:pPr>
      <w:r>
        <w:t>Key Features</w:t>
      </w:r>
    </w:p>
    <w:p w:rsidR="00285439" w:rsidRDefault="00285439" w:rsidP="00285439">
      <w:pPr>
        <w:pStyle w:val="NormalWeb"/>
      </w:pPr>
      <w:r>
        <w:t xml:space="preserve">● Manufactured from high-purity exfoliated graphite with </w:t>
      </w:r>
      <w:r w:rsidR="00DB2F81">
        <w:rPr>
          <w:rStyle w:val="Strong"/>
        </w:rPr>
        <w:t>99%</w:t>
      </w:r>
      <w:r>
        <w:rPr>
          <w:rStyle w:val="Strong"/>
        </w:rPr>
        <w:t>carbon content</w:t>
      </w:r>
      <w:r>
        <w:t>.</w:t>
      </w:r>
    </w:p>
    <w:p w:rsidR="00285439" w:rsidRDefault="00285439" w:rsidP="00285439">
      <w:pPr>
        <w:pStyle w:val="NormalWeb"/>
      </w:pPr>
      <w:r>
        <w:t>● Free from binders, fillers, oils, and other additives.</w:t>
      </w:r>
    </w:p>
    <w:p w:rsidR="00285439" w:rsidRDefault="00285439" w:rsidP="00285439">
      <w:pPr>
        <w:pStyle w:val="NormalWeb"/>
      </w:pPr>
      <w:r>
        <w:t>● Excellent resistance to high temperatures and high pressures.</w:t>
      </w:r>
    </w:p>
    <w:p w:rsidR="00285439" w:rsidRDefault="00285439" w:rsidP="00285439">
      <w:pPr>
        <w:pStyle w:val="NormalWeb"/>
      </w:pPr>
      <w:r>
        <w:t>● Highly resilient and adaptable to flange surface irregularities.</w:t>
      </w:r>
    </w:p>
    <w:p w:rsidR="00285439" w:rsidRDefault="00285439" w:rsidP="00285439">
      <w:pPr>
        <w:pStyle w:val="NormalWeb"/>
      </w:pPr>
      <w:r>
        <w:t>● Dimensionally stable under extreme pressure surges.</w:t>
      </w:r>
    </w:p>
    <w:p w:rsidR="00285439" w:rsidRDefault="00285439" w:rsidP="00285439">
      <w:pPr>
        <w:pStyle w:val="NormalWeb"/>
      </w:pPr>
      <w:r>
        <w:t>● Suitable for cryogenic as well as elevated temperature applications.</w:t>
      </w:r>
    </w:p>
    <w:p w:rsidR="00285439" w:rsidRDefault="00285439" w:rsidP="00285439">
      <w:pPr>
        <w:pStyle w:val="NormalWeb"/>
      </w:pPr>
      <w:r>
        <w:t>● Excellent chemical resistance across a broad range of industrial media.</w:t>
      </w:r>
    </w:p>
    <w:p w:rsidR="00285439" w:rsidRDefault="00285439" w:rsidP="00285439">
      <w:pPr>
        <w:pStyle w:val="NormalWeb"/>
      </w:pPr>
      <w:r>
        <w:t>● Compatible with metallic, glass, and enamel flanges.</w:t>
      </w:r>
    </w:p>
    <w:p w:rsidR="00285439" w:rsidRDefault="00E36557" w:rsidP="00285439">
      <w:r>
        <w:pict>
          <v:rect id="_x0000_i1026" style="width:0;height:1.5pt" o:hralign="center" o:hrstd="t" o:hr="t" fillcolor="#a0a0a0" stroked="f"/>
        </w:pict>
      </w:r>
    </w:p>
    <w:p w:rsidR="00285439" w:rsidRDefault="00285439" w:rsidP="00285439">
      <w:pPr>
        <w:pStyle w:val="Heading2"/>
      </w:pPr>
      <w:r>
        <w:t>Applications</w:t>
      </w:r>
    </w:p>
    <w:p w:rsidR="00285439" w:rsidRDefault="00285439" w:rsidP="00285439">
      <w:pPr>
        <w:pStyle w:val="NormalWeb"/>
      </w:pPr>
      <w:r>
        <w:t>● Pipe flanges</w:t>
      </w:r>
    </w:p>
    <w:p w:rsidR="00285439" w:rsidRDefault="00285439" w:rsidP="00285439">
      <w:pPr>
        <w:pStyle w:val="NormalWeb"/>
      </w:pPr>
      <w:r>
        <w:t>● Valve bonnets</w:t>
      </w:r>
    </w:p>
    <w:p w:rsidR="00285439" w:rsidRDefault="00285439" w:rsidP="00285439">
      <w:pPr>
        <w:pStyle w:val="NormalWeb"/>
      </w:pPr>
      <w:r>
        <w:t>● Heat exchangers</w:t>
      </w:r>
    </w:p>
    <w:p w:rsidR="00285439" w:rsidRDefault="00285439" w:rsidP="00285439">
      <w:pPr>
        <w:pStyle w:val="NormalWeb"/>
      </w:pPr>
      <w:r>
        <w:t>● High-temperature process equipment</w:t>
      </w:r>
    </w:p>
    <w:p w:rsidR="00285439" w:rsidRDefault="00285439" w:rsidP="00285439">
      <w:pPr>
        <w:pStyle w:val="NormalWeb"/>
      </w:pPr>
      <w:r>
        <w:t>● Cryogenic systems</w:t>
      </w:r>
    </w:p>
    <w:p w:rsidR="00285439" w:rsidRDefault="00285439" w:rsidP="00285439">
      <w:pPr>
        <w:pStyle w:val="NormalWeb"/>
      </w:pPr>
      <w:r>
        <w:t>● Industrial sealing applications requiring high chemical resistance</w:t>
      </w:r>
    </w:p>
    <w:p w:rsidR="00285439" w:rsidRDefault="00E36557" w:rsidP="00285439">
      <w:r>
        <w:lastRenderedPageBreak/>
        <w:pict>
          <v:rect id="_x0000_i1027" style="width:0;height:1.5pt" o:hralign="center" o:hrstd="t" o:hr="t" fillcolor="#a0a0a0" stroked="f"/>
        </w:pict>
      </w:r>
    </w:p>
    <w:p w:rsidR="00285439" w:rsidRDefault="00285439" w:rsidP="00285439">
      <w:pPr>
        <w:pStyle w:val="Heading2"/>
      </w:pPr>
      <w:r>
        <w:t>Service Media</w:t>
      </w:r>
    </w:p>
    <w:p w:rsidR="00285439" w:rsidRDefault="00285439" w:rsidP="00285439">
      <w:pPr>
        <w:pStyle w:val="NormalWeb"/>
      </w:pPr>
      <w:r>
        <w:t>● Superheated and saturated steam</w:t>
      </w:r>
    </w:p>
    <w:p w:rsidR="00285439" w:rsidRDefault="00285439" w:rsidP="00285439">
      <w:pPr>
        <w:pStyle w:val="NormalWeb"/>
      </w:pPr>
      <w:r>
        <w:t>● Non-oxidizing liquids and gases</w:t>
      </w:r>
    </w:p>
    <w:p w:rsidR="00285439" w:rsidRDefault="00285439" w:rsidP="00285439">
      <w:pPr>
        <w:pStyle w:val="NormalWeb"/>
      </w:pPr>
      <w:r>
        <w:t>● Hydrocarbons</w:t>
      </w:r>
    </w:p>
    <w:p w:rsidR="00285439" w:rsidRDefault="00285439" w:rsidP="00285439">
      <w:pPr>
        <w:pStyle w:val="NormalWeb"/>
      </w:pPr>
      <w:r>
        <w:t>● Oxygen service</w:t>
      </w:r>
    </w:p>
    <w:p w:rsidR="00285439" w:rsidRDefault="00285439" w:rsidP="00285439">
      <w:pPr>
        <w:pStyle w:val="NormalWeb"/>
      </w:pPr>
      <w:r>
        <w:t>● Cryogenic fluids</w:t>
      </w:r>
    </w:p>
    <w:p w:rsidR="00285439" w:rsidRDefault="00285439" w:rsidP="00285439">
      <w:pPr>
        <w:pStyle w:val="NormalWeb"/>
      </w:pPr>
      <w:r>
        <w:t>● Dyes and chemicals</w:t>
      </w:r>
    </w:p>
    <w:p w:rsidR="00285439" w:rsidRDefault="00285439" w:rsidP="00285439">
      <w:pPr>
        <w:pStyle w:val="NormalWeb"/>
      </w:pPr>
      <w:r>
        <w:t>● Acids (except hydrofluoric acid)</w:t>
      </w:r>
    </w:p>
    <w:p w:rsidR="00285439" w:rsidRDefault="00285439" w:rsidP="00285439">
      <w:pPr>
        <w:pStyle w:val="NormalWeb"/>
      </w:pPr>
      <w:r>
        <w:t>● Alkalis</w:t>
      </w:r>
    </w:p>
    <w:p w:rsidR="00285439" w:rsidRDefault="00285439" w:rsidP="00285439">
      <w:pPr>
        <w:pStyle w:val="NormalWeb"/>
      </w:pPr>
      <w:r>
        <w:t>● Fuel oils and lubricating oils</w:t>
      </w:r>
    </w:p>
    <w:p w:rsidR="00285439" w:rsidRDefault="00E36557" w:rsidP="00285439">
      <w:r>
        <w:pict>
          <v:rect id="_x0000_i1028" style="width:0;height:1.5pt" o:hralign="center" o:hrstd="t" o:hr="t" fillcolor="#a0a0a0" stroked="f"/>
        </w:pict>
      </w:r>
    </w:p>
    <w:p w:rsidR="00285439" w:rsidRDefault="00285439" w:rsidP="00285439">
      <w:pPr>
        <w:pStyle w:val="Heading2"/>
      </w:pPr>
      <w:r>
        <w:t>Technical Specifications</w:t>
      </w:r>
    </w:p>
    <w:p w:rsidR="00285439" w:rsidRDefault="00285439" w:rsidP="00285439">
      <w:pPr>
        <w:pStyle w:val="Heading3"/>
      </w:pPr>
      <w:r>
        <w:t>Operational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1231"/>
      </w:tblGrid>
      <w:tr w:rsidR="00285439" w:rsidTr="00DB2F81">
        <w:trPr>
          <w:tblHeader/>
          <w:tblCellSpacing w:w="15" w:type="dxa"/>
        </w:trPr>
        <w:tc>
          <w:tcPr>
            <w:tcW w:w="0" w:type="auto"/>
            <w:vAlign w:val="center"/>
            <w:hideMark/>
          </w:tcPr>
          <w:p w:rsidR="00285439" w:rsidRDefault="00285439">
            <w:pPr>
              <w:jc w:val="center"/>
              <w:rPr>
                <w:b/>
                <w:bCs/>
              </w:rPr>
            </w:pPr>
            <w:r>
              <w:rPr>
                <w:b/>
                <w:bCs/>
              </w:rPr>
              <w:t>Property</w:t>
            </w:r>
          </w:p>
        </w:tc>
        <w:tc>
          <w:tcPr>
            <w:tcW w:w="0" w:type="auto"/>
            <w:vAlign w:val="center"/>
            <w:hideMark/>
          </w:tcPr>
          <w:p w:rsidR="00285439" w:rsidRDefault="00285439">
            <w:pPr>
              <w:jc w:val="center"/>
              <w:rPr>
                <w:b/>
                <w:bCs/>
              </w:rPr>
            </w:pPr>
            <w:r>
              <w:rPr>
                <w:b/>
                <w:bCs/>
              </w:rPr>
              <w:t>Value</w:t>
            </w:r>
          </w:p>
        </w:tc>
      </w:tr>
      <w:tr w:rsidR="00285439" w:rsidTr="00DB2F81">
        <w:trPr>
          <w:tblCellSpacing w:w="15" w:type="dxa"/>
        </w:trPr>
        <w:tc>
          <w:tcPr>
            <w:tcW w:w="0" w:type="auto"/>
            <w:vAlign w:val="center"/>
            <w:hideMark/>
          </w:tcPr>
          <w:p w:rsidR="00285439" w:rsidRDefault="00285439">
            <w:r>
              <w:t>pH Range</w:t>
            </w:r>
          </w:p>
        </w:tc>
        <w:tc>
          <w:tcPr>
            <w:tcW w:w="0" w:type="auto"/>
            <w:vAlign w:val="center"/>
            <w:hideMark/>
          </w:tcPr>
          <w:p w:rsidR="00285439" w:rsidRDefault="00285439">
            <w:r>
              <w:t>0 – 14</w:t>
            </w:r>
          </w:p>
        </w:tc>
      </w:tr>
      <w:tr w:rsidR="00285439" w:rsidTr="00DB2F81">
        <w:trPr>
          <w:tblCellSpacing w:w="15" w:type="dxa"/>
        </w:trPr>
        <w:tc>
          <w:tcPr>
            <w:tcW w:w="0" w:type="auto"/>
            <w:vAlign w:val="center"/>
            <w:hideMark/>
          </w:tcPr>
          <w:p w:rsidR="00285439" w:rsidRDefault="00285439">
            <w:r>
              <w:t>Temperature (°C)</w:t>
            </w:r>
          </w:p>
        </w:tc>
        <w:tc>
          <w:tcPr>
            <w:tcW w:w="0" w:type="auto"/>
            <w:vAlign w:val="center"/>
            <w:hideMark/>
          </w:tcPr>
          <w:p w:rsidR="00285439" w:rsidRDefault="00285439">
            <w:r>
              <w:t>-200 to +550</w:t>
            </w:r>
          </w:p>
        </w:tc>
      </w:tr>
      <w:tr w:rsidR="00285439" w:rsidTr="00DB2F81">
        <w:trPr>
          <w:tblCellSpacing w:w="15" w:type="dxa"/>
        </w:trPr>
        <w:tc>
          <w:tcPr>
            <w:tcW w:w="0" w:type="auto"/>
            <w:vAlign w:val="center"/>
            <w:hideMark/>
          </w:tcPr>
          <w:p w:rsidR="00285439" w:rsidRDefault="00285439">
            <w:r>
              <w:t>Pressure (Bar)</w:t>
            </w:r>
          </w:p>
        </w:tc>
        <w:tc>
          <w:tcPr>
            <w:tcW w:w="0" w:type="auto"/>
            <w:vAlign w:val="center"/>
            <w:hideMark/>
          </w:tcPr>
          <w:p w:rsidR="00285439" w:rsidRDefault="00285439">
            <w:r>
              <w:t>150</w:t>
            </w:r>
          </w:p>
        </w:tc>
      </w:tr>
      <w:tr w:rsidR="00285439" w:rsidTr="00DB2F81">
        <w:trPr>
          <w:tblCellSpacing w:w="15" w:type="dxa"/>
        </w:trPr>
        <w:tc>
          <w:tcPr>
            <w:tcW w:w="0" w:type="auto"/>
            <w:vAlign w:val="center"/>
            <w:hideMark/>
          </w:tcPr>
          <w:p w:rsidR="00285439" w:rsidRDefault="00285439">
            <w:r>
              <w:t>Thickness (mm)</w:t>
            </w:r>
          </w:p>
        </w:tc>
        <w:tc>
          <w:tcPr>
            <w:tcW w:w="0" w:type="auto"/>
            <w:vAlign w:val="center"/>
            <w:hideMark/>
          </w:tcPr>
          <w:p w:rsidR="00285439" w:rsidRDefault="00285439">
            <w:r>
              <w:t>0.5 – 6</w:t>
            </w:r>
          </w:p>
        </w:tc>
      </w:tr>
    </w:tbl>
    <w:p w:rsidR="00285439" w:rsidRDefault="00E36557" w:rsidP="00285439">
      <w:r>
        <w:pict>
          <v:rect id="_x0000_i1029" style="width:0;height:1.5pt" o:hralign="center" o:hrstd="t" o:hr="t" fillcolor="#a0a0a0" stroked="f"/>
        </w:pict>
      </w:r>
    </w:p>
    <w:p w:rsidR="00285439" w:rsidRDefault="00285439" w:rsidP="00285439">
      <w:pPr>
        <w:pStyle w:val="Heading3"/>
      </w:pPr>
      <w:r>
        <w:t>Material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2075"/>
      </w:tblGrid>
      <w:tr w:rsidR="00285439" w:rsidTr="00DB2F81">
        <w:trPr>
          <w:tblHeader/>
          <w:tblCellSpacing w:w="15" w:type="dxa"/>
        </w:trPr>
        <w:tc>
          <w:tcPr>
            <w:tcW w:w="0" w:type="auto"/>
            <w:vAlign w:val="center"/>
            <w:hideMark/>
          </w:tcPr>
          <w:p w:rsidR="00285439" w:rsidRDefault="00285439">
            <w:pPr>
              <w:jc w:val="center"/>
              <w:rPr>
                <w:b/>
                <w:bCs/>
              </w:rPr>
            </w:pPr>
            <w:r>
              <w:rPr>
                <w:b/>
                <w:bCs/>
              </w:rPr>
              <w:t>Property</w:t>
            </w:r>
          </w:p>
        </w:tc>
        <w:tc>
          <w:tcPr>
            <w:tcW w:w="0" w:type="auto"/>
            <w:vAlign w:val="center"/>
            <w:hideMark/>
          </w:tcPr>
          <w:p w:rsidR="00285439" w:rsidRDefault="00285439">
            <w:pPr>
              <w:jc w:val="center"/>
              <w:rPr>
                <w:b/>
                <w:bCs/>
              </w:rPr>
            </w:pPr>
            <w:r>
              <w:rPr>
                <w:b/>
                <w:bCs/>
              </w:rPr>
              <w:t>Value</w:t>
            </w:r>
          </w:p>
        </w:tc>
      </w:tr>
      <w:tr w:rsidR="00285439" w:rsidTr="00DB2F81">
        <w:trPr>
          <w:tblCellSpacing w:w="15" w:type="dxa"/>
        </w:trPr>
        <w:tc>
          <w:tcPr>
            <w:tcW w:w="0" w:type="auto"/>
            <w:vAlign w:val="center"/>
            <w:hideMark/>
          </w:tcPr>
          <w:p w:rsidR="00285439" w:rsidRDefault="00285439">
            <w:r>
              <w:t>Carbon Content</w:t>
            </w:r>
          </w:p>
        </w:tc>
        <w:tc>
          <w:tcPr>
            <w:tcW w:w="0" w:type="auto"/>
            <w:vAlign w:val="center"/>
            <w:hideMark/>
          </w:tcPr>
          <w:p w:rsidR="00285439" w:rsidRDefault="00285439">
            <w:r>
              <w:t>99%</w:t>
            </w:r>
          </w:p>
        </w:tc>
      </w:tr>
      <w:tr w:rsidR="00285439" w:rsidTr="00DB2F81">
        <w:trPr>
          <w:tblCellSpacing w:w="15" w:type="dxa"/>
        </w:trPr>
        <w:tc>
          <w:tcPr>
            <w:tcW w:w="0" w:type="auto"/>
            <w:vAlign w:val="center"/>
            <w:hideMark/>
          </w:tcPr>
          <w:p w:rsidR="00285439" w:rsidRDefault="00285439">
            <w:r>
              <w:t>Sulphur Content</w:t>
            </w:r>
          </w:p>
        </w:tc>
        <w:tc>
          <w:tcPr>
            <w:tcW w:w="0" w:type="auto"/>
            <w:vAlign w:val="center"/>
            <w:hideMark/>
          </w:tcPr>
          <w:p w:rsidR="00285439" w:rsidRDefault="00285439">
            <w:r>
              <w:t>&lt; 750 ppm</w:t>
            </w:r>
          </w:p>
        </w:tc>
      </w:tr>
      <w:tr w:rsidR="00285439" w:rsidTr="00DB2F81">
        <w:trPr>
          <w:tblCellSpacing w:w="15" w:type="dxa"/>
        </w:trPr>
        <w:tc>
          <w:tcPr>
            <w:tcW w:w="0" w:type="auto"/>
            <w:vAlign w:val="center"/>
            <w:hideMark/>
          </w:tcPr>
          <w:p w:rsidR="00285439" w:rsidRDefault="00285439">
            <w:r>
              <w:t>Chloride Content</w:t>
            </w:r>
          </w:p>
        </w:tc>
        <w:tc>
          <w:tcPr>
            <w:tcW w:w="0" w:type="auto"/>
            <w:vAlign w:val="center"/>
            <w:hideMark/>
          </w:tcPr>
          <w:p w:rsidR="00285439" w:rsidRDefault="00285439">
            <w:r>
              <w:t>&lt; 45 ppm</w:t>
            </w:r>
          </w:p>
        </w:tc>
      </w:tr>
      <w:tr w:rsidR="00285439" w:rsidTr="00DB2F81">
        <w:trPr>
          <w:tblCellSpacing w:w="15" w:type="dxa"/>
        </w:trPr>
        <w:tc>
          <w:tcPr>
            <w:tcW w:w="0" w:type="auto"/>
            <w:vAlign w:val="center"/>
            <w:hideMark/>
          </w:tcPr>
          <w:p w:rsidR="00285439" w:rsidRDefault="00285439">
            <w:r>
              <w:t>Ash Content</w:t>
            </w:r>
          </w:p>
        </w:tc>
        <w:tc>
          <w:tcPr>
            <w:tcW w:w="0" w:type="auto"/>
            <w:vAlign w:val="center"/>
            <w:hideMark/>
          </w:tcPr>
          <w:p w:rsidR="00285439" w:rsidRDefault="00285439">
            <w:r>
              <w:t>&lt; 1%</w:t>
            </w:r>
          </w:p>
        </w:tc>
      </w:tr>
      <w:tr w:rsidR="00285439" w:rsidTr="00DB2F81">
        <w:trPr>
          <w:tblCellSpacing w:w="15" w:type="dxa"/>
        </w:trPr>
        <w:tc>
          <w:tcPr>
            <w:tcW w:w="0" w:type="auto"/>
            <w:vAlign w:val="center"/>
            <w:hideMark/>
          </w:tcPr>
          <w:p w:rsidR="00285439" w:rsidRDefault="00285439">
            <w:r>
              <w:t>Density Tolerance</w:t>
            </w:r>
          </w:p>
        </w:tc>
        <w:tc>
          <w:tcPr>
            <w:tcW w:w="0" w:type="auto"/>
            <w:vAlign w:val="center"/>
            <w:hideMark/>
          </w:tcPr>
          <w:p w:rsidR="00285439" w:rsidRDefault="00285439">
            <w:r>
              <w:t>±0.05 g/cc</w:t>
            </w:r>
          </w:p>
        </w:tc>
      </w:tr>
      <w:tr w:rsidR="00285439" w:rsidTr="00DB2F81">
        <w:trPr>
          <w:tblCellSpacing w:w="15" w:type="dxa"/>
        </w:trPr>
        <w:tc>
          <w:tcPr>
            <w:tcW w:w="0" w:type="auto"/>
            <w:vAlign w:val="center"/>
            <w:hideMark/>
          </w:tcPr>
          <w:p w:rsidR="00285439" w:rsidRDefault="00285439">
            <w:r>
              <w:t>Sheet Thickness</w:t>
            </w:r>
          </w:p>
        </w:tc>
        <w:tc>
          <w:tcPr>
            <w:tcW w:w="0" w:type="auto"/>
            <w:vAlign w:val="center"/>
            <w:hideMark/>
          </w:tcPr>
          <w:p w:rsidR="00285439" w:rsidRDefault="00285439">
            <w:r>
              <w:t>0.5 mm – 6 mm</w:t>
            </w:r>
          </w:p>
        </w:tc>
      </w:tr>
      <w:tr w:rsidR="00285439" w:rsidTr="00DB2F81">
        <w:trPr>
          <w:tblCellSpacing w:w="15" w:type="dxa"/>
        </w:trPr>
        <w:tc>
          <w:tcPr>
            <w:tcW w:w="0" w:type="auto"/>
            <w:vAlign w:val="center"/>
            <w:hideMark/>
          </w:tcPr>
          <w:p w:rsidR="00285439" w:rsidRDefault="00285439">
            <w:r>
              <w:lastRenderedPageBreak/>
              <w:t>Thickness Tolerance</w:t>
            </w:r>
          </w:p>
        </w:tc>
        <w:tc>
          <w:tcPr>
            <w:tcW w:w="0" w:type="auto"/>
            <w:vAlign w:val="center"/>
            <w:hideMark/>
          </w:tcPr>
          <w:p w:rsidR="00285439" w:rsidRDefault="00285439">
            <w:r>
              <w:t>±0.1 mm to ±0.25 mm</w:t>
            </w:r>
          </w:p>
        </w:tc>
      </w:tr>
    </w:tbl>
    <w:p w:rsidR="00285439" w:rsidRDefault="00E36557" w:rsidP="00285439">
      <w:r>
        <w:pict>
          <v:rect id="_x0000_i1030" style="width:0;height:1.5pt" o:hralign="center" o:hrstd="t" o:hr="t" fillcolor="#a0a0a0" stroked="f"/>
        </w:pict>
      </w:r>
    </w:p>
    <w:p w:rsidR="00285439" w:rsidRDefault="00285439" w:rsidP="00285439">
      <w:pPr>
        <w:pStyle w:val="Heading3"/>
      </w:pPr>
      <w:r>
        <w:t>ASTM F36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9"/>
        <w:gridCol w:w="908"/>
      </w:tblGrid>
      <w:tr w:rsidR="00285439" w:rsidTr="00502D4C">
        <w:trPr>
          <w:tblHeader/>
          <w:tblCellSpacing w:w="15" w:type="dxa"/>
        </w:trPr>
        <w:tc>
          <w:tcPr>
            <w:tcW w:w="0" w:type="auto"/>
            <w:vAlign w:val="center"/>
            <w:hideMark/>
          </w:tcPr>
          <w:p w:rsidR="00285439" w:rsidRDefault="00285439">
            <w:pPr>
              <w:jc w:val="center"/>
              <w:rPr>
                <w:b/>
                <w:bCs/>
              </w:rPr>
            </w:pPr>
            <w:r>
              <w:rPr>
                <w:b/>
                <w:bCs/>
              </w:rPr>
              <w:t>Property</w:t>
            </w:r>
          </w:p>
        </w:tc>
        <w:tc>
          <w:tcPr>
            <w:tcW w:w="0" w:type="auto"/>
            <w:vAlign w:val="center"/>
            <w:hideMark/>
          </w:tcPr>
          <w:p w:rsidR="00285439" w:rsidRDefault="00285439">
            <w:pPr>
              <w:jc w:val="center"/>
              <w:rPr>
                <w:b/>
                <w:bCs/>
              </w:rPr>
            </w:pPr>
            <w:r>
              <w:rPr>
                <w:b/>
                <w:bCs/>
              </w:rPr>
              <w:t>Value</w:t>
            </w:r>
          </w:p>
        </w:tc>
      </w:tr>
      <w:tr w:rsidR="00285439" w:rsidTr="00502D4C">
        <w:trPr>
          <w:tblCellSpacing w:w="15" w:type="dxa"/>
        </w:trPr>
        <w:tc>
          <w:tcPr>
            <w:tcW w:w="0" w:type="auto"/>
            <w:vAlign w:val="center"/>
            <w:hideMark/>
          </w:tcPr>
          <w:p w:rsidR="00285439" w:rsidRDefault="00285439">
            <w:r>
              <w:t>Compressibility</w:t>
            </w:r>
          </w:p>
        </w:tc>
        <w:tc>
          <w:tcPr>
            <w:tcW w:w="0" w:type="auto"/>
            <w:vAlign w:val="center"/>
            <w:hideMark/>
          </w:tcPr>
          <w:p w:rsidR="00285439" w:rsidRDefault="00285439">
            <w:r>
              <w:t>35 – 40%</w:t>
            </w:r>
          </w:p>
        </w:tc>
      </w:tr>
      <w:tr w:rsidR="00285439" w:rsidTr="00502D4C">
        <w:trPr>
          <w:tblCellSpacing w:w="15" w:type="dxa"/>
        </w:trPr>
        <w:tc>
          <w:tcPr>
            <w:tcW w:w="0" w:type="auto"/>
            <w:vAlign w:val="center"/>
            <w:hideMark/>
          </w:tcPr>
          <w:p w:rsidR="00285439" w:rsidRDefault="00285439">
            <w:r>
              <w:t>Recovery</w:t>
            </w:r>
          </w:p>
        </w:tc>
        <w:tc>
          <w:tcPr>
            <w:tcW w:w="0" w:type="auto"/>
            <w:vAlign w:val="center"/>
            <w:hideMark/>
          </w:tcPr>
          <w:p w:rsidR="00285439" w:rsidRDefault="00285439">
            <w:r>
              <w:t>15 – 18%</w:t>
            </w:r>
          </w:p>
        </w:tc>
      </w:tr>
      <w:tr w:rsidR="00285439" w:rsidTr="00502D4C">
        <w:trPr>
          <w:tblCellSpacing w:w="15" w:type="dxa"/>
        </w:trPr>
        <w:tc>
          <w:tcPr>
            <w:tcW w:w="0" w:type="auto"/>
            <w:vAlign w:val="center"/>
            <w:hideMark/>
          </w:tcPr>
          <w:p w:rsidR="00285439" w:rsidRDefault="00285439">
            <w:r>
              <w:t>m Factor (3 mm Thick)</w:t>
            </w:r>
          </w:p>
        </w:tc>
        <w:tc>
          <w:tcPr>
            <w:tcW w:w="0" w:type="auto"/>
            <w:vAlign w:val="center"/>
            <w:hideMark/>
          </w:tcPr>
          <w:p w:rsidR="00285439" w:rsidRDefault="00285439">
            <w:r>
              <w:t>2.5</w:t>
            </w:r>
          </w:p>
        </w:tc>
      </w:tr>
      <w:tr w:rsidR="00285439" w:rsidTr="00502D4C">
        <w:trPr>
          <w:tblCellSpacing w:w="15" w:type="dxa"/>
        </w:trPr>
        <w:tc>
          <w:tcPr>
            <w:tcW w:w="0" w:type="auto"/>
            <w:vAlign w:val="center"/>
            <w:hideMark/>
          </w:tcPr>
          <w:p w:rsidR="00285439" w:rsidRDefault="00285439">
            <w:r>
              <w:t>y Factor</w:t>
            </w:r>
          </w:p>
        </w:tc>
        <w:tc>
          <w:tcPr>
            <w:tcW w:w="0" w:type="auto"/>
            <w:vAlign w:val="center"/>
            <w:hideMark/>
          </w:tcPr>
          <w:p w:rsidR="00285439" w:rsidRDefault="00285439">
            <w:r>
              <w:t>2176 psi</w:t>
            </w:r>
          </w:p>
        </w:tc>
      </w:tr>
    </w:tbl>
    <w:p w:rsidR="00285439" w:rsidRDefault="00E36557" w:rsidP="00285439">
      <w:r>
        <w:pict>
          <v:rect id="_x0000_i1031" style="width:0;height:1.5pt" o:hralign="center" o:hrstd="t" o:hr="t" fillcolor="#a0a0a0" stroked="f"/>
        </w:pict>
      </w:r>
    </w:p>
    <w:p w:rsidR="00285439" w:rsidRDefault="00285439" w:rsidP="00285439">
      <w:pPr>
        <w:pStyle w:val="Heading3"/>
      </w:pPr>
      <w:r>
        <w:t>ASTM F38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617"/>
      </w:tblGrid>
      <w:tr w:rsidR="00285439" w:rsidTr="00502D4C">
        <w:trPr>
          <w:tblHeader/>
          <w:tblCellSpacing w:w="15" w:type="dxa"/>
        </w:trPr>
        <w:tc>
          <w:tcPr>
            <w:tcW w:w="0" w:type="auto"/>
            <w:vAlign w:val="center"/>
            <w:hideMark/>
          </w:tcPr>
          <w:p w:rsidR="00285439" w:rsidRDefault="00285439">
            <w:pPr>
              <w:jc w:val="center"/>
              <w:rPr>
                <w:b/>
                <w:bCs/>
              </w:rPr>
            </w:pPr>
            <w:r>
              <w:rPr>
                <w:b/>
                <w:bCs/>
              </w:rPr>
              <w:t>Property</w:t>
            </w:r>
          </w:p>
        </w:tc>
        <w:tc>
          <w:tcPr>
            <w:tcW w:w="0" w:type="auto"/>
            <w:vAlign w:val="center"/>
            <w:hideMark/>
          </w:tcPr>
          <w:p w:rsidR="00285439" w:rsidRDefault="00285439">
            <w:pPr>
              <w:jc w:val="center"/>
              <w:rPr>
                <w:b/>
                <w:bCs/>
              </w:rPr>
            </w:pPr>
            <w:r>
              <w:rPr>
                <w:b/>
                <w:bCs/>
              </w:rPr>
              <w:t>Value</w:t>
            </w:r>
          </w:p>
        </w:tc>
      </w:tr>
      <w:tr w:rsidR="00285439" w:rsidTr="00502D4C">
        <w:trPr>
          <w:tblCellSpacing w:w="15" w:type="dxa"/>
        </w:trPr>
        <w:tc>
          <w:tcPr>
            <w:tcW w:w="0" w:type="auto"/>
            <w:vAlign w:val="center"/>
            <w:hideMark/>
          </w:tcPr>
          <w:p w:rsidR="00285439" w:rsidRDefault="00285439">
            <w:r>
              <w:t>Creep Relaxation</w:t>
            </w:r>
          </w:p>
        </w:tc>
        <w:tc>
          <w:tcPr>
            <w:tcW w:w="0" w:type="auto"/>
            <w:vAlign w:val="center"/>
            <w:hideMark/>
          </w:tcPr>
          <w:p w:rsidR="00285439" w:rsidRDefault="00285439">
            <w:r>
              <w:t>5%</w:t>
            </w:r>
          </w:p>
        </w:tc>
      </w:tr>
    </w:tbl>
    <w:p w:rsidR="00285439" w:rsidRDefault="00E36557" w:rsidP="00285439">
      <w:r>
        <w:pict>
          <v:rect id="_x0000_i1032" style="width:0;height:1.5pt" o:hralign="center" o:hrstd="t" o:hr="t" fillcolor="#a0a0a0" stroked="f"/>
        </w:pict>
      </w:r>
    </w:p>
    <w:p w:rsidR="00285439" w:rsidRDefault="00285439" w:rsidP="00285439">
      <w:pPr>
        <w:pStyle w:val="Heading3"/>
      </w:pPr>
      <w:r>
        <w:t>Ignition Loss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617"/>
      </w:tblGrid>
      <w:tr w:rsidR="00285439" w:rsidTr="00502D4C">
        <w:trPr>
          <w:tblHeader/>
          <w:tblCellSpacing w:w="15" w:type="dxa"/>
        </w:trPr>
        <w:tc>
          <w:tcPr>
            <w:tcW w:w="0" w:type="auto"/>
            <w:vAlign w:val="center"/>
            <w:hideMark/>
          </w:tcPr>
          <w:p w:rsidR="00285439" w:rsidRDefault="00285439">
            <w:pPr>
              <w:jc w:val="center"/>
              <w:rPr>
                <w:b/>
                <w:bCs/>
              </w:rPr>
            </w:pPr>
            <w:r>
              <w:rPr>
                <w:b/>
                <w:bCs/>
              </w:rPr>
              <w:t>Temperature</w:t>
            </w:r>
          </w:p>
        </w:tc>
        <w:tc>
          <w:tcPr>
            <w:tcW w:w="0" w:type="auto"/>
            <w:vAlign w:val="center"/>
            <w:hideMark/>
          </w:tcPr>
          <w:p w:rsidR="00285439" w:rsidRDefault="00285439">
            <w:pPr>
              <w:jc w:val="center"/>
              <w:rPr>
                <w:b/>
                <w:bCs/>
              </w:rPr>
            </w:pPr>
            <w:r>
              <w:rPr>
                <w:b/>
                <w:bCs/>
              </w:rPr>
              <w:t>Value</w:t>
            </w:r>
          </w:p>
        </w:tc>
      </w:tr>
      <w:tr w:rsidR="00285439" w:rsidTr="00502D4C">
        <w:trPr>
          <w:tblCellSpacing w:w="15" w:type="dxa"/>
        </w:trPr>
        <w:tc>
          <w:tcPr>
            <w:tcW w:w="0" w:type="auto"/>
            <w:vAlign w:val="center"/>
            <w:hideMark/>
          </w:tcPr>
          <w:p w:rsidR="00285439" w:rsidRDefault="00285439">
            <w:r>
              <w:t>454°C (850°F)</w:t>
            </w:r>
          </w:p>
        </w:tc>
        <w:tc>
          <w:tcPr>
            <w:tcW w:w="0" w:type="auto"/>
            <w:vAlign w:val="center"/>
            <w:hideMark/>
          </w:tcPr>
          <w:p w:rsidR="00285439" w:rsidRDefault="00285439">
            <w:r>
              <w:t>1%</w:t>
            </w:r>
          </w:p>
        </w:tc>
      </w:tr>
    </w:tbl>
    <w:p w:rsidR="00285439" w:rsidRDefault="00E36557" w:rsidP="00285439">
      <w:r>
        <w:pict>
          <v:rect id="_x0000_i1033" style="width:0;height:1.5pt" o:hralign="center" o:hrstd="t" o:hr="t" fillcolor="#a0a0a0" stroked="f"/>
        </w:pict>
      </w:r>
    </w:p>
    <w:p w:rsidR="00285439" w:rsidRDefault="00285439" w:rsidP="00285439">
      <w:pPr>
        <w:pStyle w:val="Heading3"/>
      </w:pPr>
      <w:r>
        <w:t>Extended Service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2"/>
        <w:gridCol w:w="1781"/>
      </w:tblGrid>
      <w:tr w:rsidR="00285439" w:rsidTr="00285439">
        <w:trPr>
          <w:tblHeader/>
          <w:tblCellSpacing w:w="15" w:type="dxa"/>
        </w:trPr>
        <w:tc>
          <w:tcPr>
            <w:tcW w:w="0" w:type="auto"/>
            <w:vAlign w:val="center"/>
            <w:hideMark/>
          </w:tcPr>
          <w:p w:rsidR="00285439" w:rsidRDefault="00285439">
            <w:pPr>
              <w:jc w:val="center"/>
              <w:rPr>
                <w:b/>
                <w:bCs/>
              </w:rPr>
            </w:pPr>
            <w:r>
              <w:rPr>
                <w:b/>
                <w:bCs/>
              </w:rPr>
              <w:t>Property</w:t>
            </w:r>
          </w:p>
        </w:tc>
        <w:tc>
          <w:tcPr>
            <w:tcW w:w="0" w:type="auto"/>
            <w:vAlign w:val="center"/>
            <w:hideMark/>
          </w:tcPr>
          <w:p w:rsidR="00285439" w:rsidRDefault="00285439">
            <w:pPr>
              <w:jc w:val="center"/>
              <w:rPr>
                <w:b/>
                <w:bCs/>
              </w:rPr>
            </w:pPr>
            <w:r>
              <w:rPr>
                <w:b/>
                <w:bCs/>
              </w:rPr>
              <w:t>Value</w:t>
            </w:r>
          </w:p>
        </w:tc>
      </w:tr>
      <w:tr w:rsidR="00285439" w:rsidTr="00285439">
        <w:trPr>
          <w:tblCellSpacing w:w="15" w:type="dxa"/>
        </w:trPr>
        <w:tc>
          <w:tcPr>
            <w:tcW w:w="0" w:type="auto"/>
            <w:vAlign w:val="center"/>
            <w:hideMark/>
          </w:tcPr>
          <w:p w:rsidR="00285439" w:rsidRDefault="00285439">
            <w:r>
              <w:t>Temperature (Reducing Atmosphere)</w:t>
            </w:r>
          </w:p>
        </w:tc>
        <w:tc>
          <w:tcPr>
            <w:tcW w:w="0" w:type="auto"/>
            <w:vAlign w:val="center"/>
            <w:hideMark/>
          </w:tcPr>
          <w:p w:rsidR="00285439" w:rsidRDefault="00285439">
            <w:r>
              <w:t>Up to 3</w:t>
            </w:r>
            <w:r w:rsidR="00E36557">
              <w:t>000</w:t>
            </w:r>
            <w:bookmarkStart w:id="0" w:name="_GoBack"/>
            <w:bookmarkEnd w:id="0"/>
            <w:r>
              <w:t>°C</w:t>
            </w:r>
          </w:p>
        </w:tc>
      </w:tr>
      <w:tr w:rsidR="00285439" w:rsidTr="00285439">
        <w:trPr>
          <w:tblCellSpacing w:w="15" w:type="dxa"/>
        </w:trPr>
        <w:tc>
          <w:tcPr>
            <w:tcW w:w="0" w:type="auto"/>
            <w:vAlign w:val="center"/>
            <w:hideMark/>
          </w:tcPr>
          <w:p w:rsidR="00285439" w:rsidRDefault="00285439">
            <w:r>
              <w:t>Temperature (Oxidizing Atmosphere)</w:t>
            </w:r>
          </w:p>
        </w:tc>
        <w:tc>
          <w:tcPr>
            <w:tcW w:w="0" w:type="auto"/>
            <w:vAlign w:val="center"/>
            <w:hideMark/>
          </w:tcPr>
          <w:p w:rsidR="00285439" w:rsidRDefault="00285439">
            <w:r>
              <w:t>Up to 480°C</w:t>
            </w:r>
          </w:p>
        </w:tc>
      </w:tr>
      <w:tr w:rsidR="00285439" w:rsidTr="00285439">
        <w:trPr>
          <w:tblCellSpacing w:w="15" w:type="dxa"/>
        </w:trPr>
        <w:tc>
          <w:tcPr>
            <w:tcW w:w="0" w:type="auto"/>
            <w:vAlign w:val="center"/>
            <w:hideMark/>
          </w:tcPr>
          <w:p w:rsidR="00285439" w:rsidRDefault="00285439">
            <w:r>
              <w:t>Temperature (Steam Service)</w:t>
            </w:r>
          </w:p>
        </w:tc>
        <w:tc>
          <w:tcPr>
            <w:tcW w:w="0" w:type="auto"/>
            <w:vAlign w:val="center"/>
            <w:hideMark/>
          </w:tcPr>
          <w:p w:rsidR="00285439" w:rsidRDefault="00285439">
            <w:r>
              <w:t>Up to 550°C</w:t>
            </w:r>
          </w:p>
        </w:tc>
      </w:tr>
      <w:tr w:rsidR="00285439" w:rsidTr="00285439">
        <w:trPr>
          <w:tblCellSpacing w:w="15" w:type="dxa"/>
        </w:trPr>
        <w:tc>
          <w:tcPr>
            <w:tcW w:w="0" w:type="auto"/>
            <w:vAlign w:val="center"/>
            <w:hideMark/>
          </w:tcPr>
          <w:p w:rsidR="00285439" w:rsidRDefault="00285439">
            <w:r>
              <w:t>Pressure</w:t>
            </w:r>
          </w:p>
        </w:tc>
        <w:tc>
          <w:tcPr>
            <w:tcW w:w="0" w:type="auto"/>
            <w:vAlign w:val="center"/>
            <w:hideMark/>
          </w:tcPr>
          <w:p w:rsidR="00285439" w:rsidRDefault="00285439">
            <w:r>
              <w:t xml:space="preserve">Vacuum </w:t>
            </w:r>
            <w:r w:rsidR="00502D4C">
              <w:t xml:space="preserve">to </w:t>
            </w:r>
            <w:r>
              <w:t>150 Bar</w:t>
            </w:r>
          </w:p>
        </w:tc>
      </w:tr>
    </w:tbl>
    <w:p w:rsidR="00285439" w:rsidRDefault="00E36557" w:rsidP="00285439">
      <w:r>
        <w:pict>
          <v:rect id="_x0000_i1034" style="width:0;height:1.5pt" o:hralign="center" o:hrstd="t" o:hr="t" fillcolor="#a0a0a0" stroked="f"/>
        </w:pict>
      </w:r>
    </w:p>
    <w:p w:rsidR="00285439" w:rsidRDefault="00285439" w:rsidP="00285439">
      <w:pPr>
        <w:pStyle w:val="Heading2"/>
      </w:pPr>
      <w:r>
        <w:t>Availability</w:t>
      </w:r>
    </w:p>
    <w:p w:rsidR="00285439" w:rsidRDefault="00285439" w:rsidP="00285439">
      <w:pPr>
        <w:pStyle w:val="Heading3"/>
      </w:pPr>
      <w:r>
        <w:t>Sheet Sizes</w:t>
      </w:r>
    </w:p>
    <w:p w:rsidR="00285439" w:rsidRDefault="00285439" w:rsidP="00285439">
      <w:pPr>
        <w:pStyle w:val="NormalWeb"/>
      </w:pPr>
      <w:r>
        <w:t>● 1000 mm × 1000 mm</w:t>
      </w:r>
    </w:p>
    <w:p w:rsidR="00285439" w:rsidRDefault="00285439" w:rsidP="00285439">
      <w:pPr>
        <w:pStyle w:val="NormalWeb"/>
      </w:pPr>
      <w:r>
        <w:t>● 1500 mm × 1500 mm</w:t>
      </w:r>
    </w:p>
    <w:p w:rsidR="00285439" w:rsidRDefault="00285439" w:rsidP="00285439">
      <w:pPr>
        <w:pStyle w:val="Heading3"/>
      </w:pPr>
      <w:r>
        <w:lastRenderedPageBreak/>
        <w:t>Thickness Range</w:t>
      </w:r>
    </w:p>
    <w:p w:rsidR="00285439" w:rsidRDefault="00285439" w:rsidP="00285439">
      <w:pPr>
        <w:pStyle w:val="NormalWeb"/>
      </w:pPr>
      <w:r>
        <w:t>● 0.5 mm to 6 mm</w:t>
      </w:r>
    </w:p>
    <w:p w:rsidR="00285439" w:rsidRDefault="00E36557" w:rsidP="00285439">
      <w:r>
        <w:pict>
          <v:rect id="_x0000_i1035" style="width:0;height:1.5pt" o:hralign="center" o:hrstd="t" o:hr="t" fillcolor="#a0a0a0" stroked="f"/>
        </w:pict>
      </w:r>
    </w:p>
    <w:p w:rsidR="00285439" w:rsidRDefault="00285439" w:rsidP="00285439">
      <w:pPr>
        <w:pStyle w:val="Heading2"/>
      </w:pPr>
      <w:r>
        <w:t>Performance Benefits</w:t>
      </w:r>
    </w:p>
    <w:p w:rsidR="00285439" w:rsidRDefault="00285439" w:rsidP="00285439">
      <w:pPr>
        <w:pStyle w:val="NormalWeb"/>
      </w:pPr>
      <w:r>
        <w:t>● Exceptional sealing performance under high temperatures and pressures.</w:t>
      </w:r>
    </w:p>
    <w:p w:rsidR="00285439" w:rsidRDefault="00285439" w:rsidP="00285439">
      <w:pPr>
        <w:pStyle w:val="NormalWeb"/>
      </w:pPr>
      <w:r>
        <w:t>● Conforms readily to flange irregularities, reducing leakage risk.</w:t>
      </w:r>
    </w:p>
    <w:p w:rsidR="00285439" w:rsidRDefault="00285439" w:rsidP="00285439">
      <w:pPr>
        <w:pStyle w:val="NormalWeb"/>
      </w:pPr>
      <w:r>
        <w:t>● Excellent resistance to thermal cycling and pressure fluctuations.</w:t>
      </w:r>
    </w:p>
    <w:p w:rsidR="00285439" w:rsidRDefault="00285439" w:rsidP="00285439">
      <w:pPr>
        <w:pStyle w:val="NormalWeb"/>
      </w:pPr>
      <w:r>
        <w:t>● Chemically resistant to most industrial fluids and gases.</w:t>
      </w:r>
    </w:p>
    <w:p w:rsidR="00285439" w:rsidRDefault="00285439" w:rsidP="00285439">
      <w:pPr>
        <w:pStyle w:val="NormalWeb"/>
      </w:pPr>
      <w:r>
        <w:t>● Suitable for both high-temperature and cryogenic services.</w:t>
      </w:r>
    </w:p>
    <w:p w:rsidR="00285439" w:rsidRDefault="00285439" w:rsidP="00285439">
      <w:pPr>
        <w:pStyle w:val="NormalWeb"/>
      </w:pPr>
      <w:r>
        <w:t>● Dimensionally stable with minimal creep and relaxation.</w:t>
      </w:r>
    </w:p>
    <w:p w:rsidR="00285439" w:rsidRDefault="00285439" w:rsidP="00285439">
      <w:pPr>
        <w:pStyle w:val="NormalWeb"/>
      </w:pPr>
      <w:r>
        <w:t>● Low leakage rates ensure reliable long-term sealing.</w:t>
      </w:r>
    </w:p>
    <w:p w:rsidR="00285439" w:rsidRDefault="00285439" w:rsidP="00285439">
      <w:pPr>
        <w:pStyle w:val="NormalWeb"/>
      </w:pPr>
      <w:r>
        <w:t>● Reduces maintenance frequency and overall operating costs.</w:t>
      </w:r>
    </w:p>
    <w:p w:rsidR="00757956" w:rsidRPr="00285439" w:rsidRDefault="00757956" w:rsidP="00285439"/>
    <w:sectPr w:rsidR="00757956" w:rsidRPr="00285439"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6C38A8"/>
    <w:multiLevelType w:val="multilevel"/>
    <w:tmpl w:val="662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A3D51"/>
    <w:multiLevelType w:val="multilevel"/>
    <w:tmpl w:val="39C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C54B1"/>
    <w:multiLevelType w:val="multilevel"/>
    <w:tmpl w:val="C0B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A4C1F"/>
    <w:multiLevelType w:val="multilevel"/>
    <w:tmpl w:val="25D4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10FC3"/>
    <w:multiLevelType w:val="multilevel"/>
    <w:tmpl w:val="B022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95717"/>
    <w:multiLevelType w:val="multilevel"/>
    <w:tmpl w:val="B8FC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94FD3"/>
    <w:multiLevelType w:val="multilevel"/>
    <w:tmpl w:val="2CFA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3"/>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D32C8"/>
    <w:rsid w:val="001B5CE9"/>
    <w:rsid w:val="00263B36"/>
    <w:rsid w:val="00285439"/>
    <w:rsid w:val="003F1DDF"/>
    <w:rsid w:val="00502D4C"/>
    <w:rsid w:val="006A012D"/>
    <w:rsid w:val="00757956"/>
    <w:rsid w:val="007A1184"/>
    <w:rsid w:val="00897E28"/>
    <w:rsid w:val="00904608"/>
    <w:rsid w:val="009D05B6"/>
    <w:rsid w:val="00AA7401"/>
    <w:rsid w:val="00CA53CA"/>
    <w:rsid w:val="00D66EFF"/>
    <w:rsid w:val="00DB2F81"/>
    <w:rsid w:val="00E024F6"/>
    <w:rsid w:val="00E36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B581D"/>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4041729">
      <w:bodyDiv w:val="1"/>
      <w:marLeft w:val="0"/>
      <w:marRight w:val="0"/>
      <w:marTop w:val="0"/>
      <w:marBottom w:val="0"/>
      <w:divBdr>
        <w:top w:val="none" w:sz="0" w:space="0" w:color="auto"/>
        <w:left w:val="none" w:sz="0" w:space="0" w:color="auto"/>
        <w:bottom w:val="none" w:sz="0" w:space="0" w:color="auto"/>
        <w:right w:val="none" w:sz="0" w:space="0" w:color="auto"/>
      </w:divBdr>
      <w:divsChild>
        <w:div w:id="1285693096">
          <w:marLeft w:val="0"/>
          <w:marRight w:val="0"/>
          <w:marTop w:val="0"/>
          <w:marBottom w:val="0"/>
          <w:divBdr>
            <w:top w:val="none" w:sz="0" w:space="0" w:color="auto"/>
            <w:left w:val="none" w:sz="0" w:space="0" w:color="auto"/>
            <w:bottom w:val="none" w:sz="0" w:space="0" w:color="auto"/>
            <w:right w:val="none" w:sz="0" w:space="0" w:color="auto"/>
          </w:divBdr>
          <w:divsChild>
            <w:div w:id="8835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2049">
      <w:bodyDiv w:val="1"/>
      <w:marLeft w:val="0"/>
      <w:marRight w:val="0"/>
      <w:marTop w:val="0"/>
      <w:marBottom w:val="0"/>
      <w:divBdr>
        <w:top w:val="none" w:sz="0" w:space="0" w:color="auto"/>
        <w:left w:val="none" w:sz="0" w:space="0" w:color="auto"/>
        <w:bottom w:val="none" w:sz="0" w:space="0" w:color="auto"/>
        <w:right w:val="none" w:sz="0" w:space="0" w:color="auto"/>
      </w:divBdr>
      <w:divsChild>
        <w:div w:id="1154175340">
          <w:marLeft w:val="0"/>
          <w:marRight w:val="0"/>
          <w:marTop w:val="0"/>
          <w:marBottom w:val="0"/>
          <w:divBdr>
            <w:top w:val="none" w:sz="0" w:space="0" w:color="auto"/>
            <w:left w:val="none" w:sz="0" w:space="0" w:color="auto"/>
            <w:bottom w:val="none" w:sz="0" w:space="0" w:color="auto"/>
            <w:right w:val="none" w:sz="0" w:space="0" w:color="auto"/>
          </w:divBdr>
          <w:divsChild>
            <w:div w:id="342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1797984829">
      <w:bodyDiv w:val="1"/>
      <w:marLeft w:val="0"/>
      <w:marRight w:val="0"/>
      <w:marTop w:val="0"/>
      <w:marBottom w:val="0"/>
      <w:divBdr>
        <w:top w:val="none" w:sz="0" w:space="0" w:color="auto"/>
        <w:left w:val="none" w:sz="0" w:space="0" w:color="auto"/>
        <w:bottom w:val="none" w:sz="0" w:space="0" w:color="auto"/>
        <w:right w:val="none" w:sz="0" w:space="0" w:color="auto"/>
      </w:divBdr>
      <w:divsChild>
        <w:div w:id="703555527">
          <w:marLeft w:val="0"/>
          <w:marRight w:val="0"/>
          <w:marTop w:val="0"/>
          <w:marBottom w:val="0"/>
          <w:divBdr>
            <w:top w:val="none" w:sz="0" w:space="0" w:color="auto"/>
            <w:left w:val="none" w:sz="0" w:space="0" w:color="auto"/>
            <w:bottom w:val="none" w:sz="0" w:space="0" w:color="auto"/>
            <w:right w:val="none" w:sz="0" w:space="0" w:color="auto"/>
          </w:divBdr>
          <w:divsChild>
            <w:div w:id="1753160907">
              <w:marLeft w:val="0"/>
              <w:marRight w:val="0"/>
              <w:marTop w:val="0"/>
              <w:marBottom w:val="0"/>
              <w:divBdr>
                <w:top w:val="none" w:sz="0" w:space="0" w:color="auto"/>
                <w:left w:val="none" w:sz="0" w:space="0" w:color="auto"/>
                <w:bottom w:val="none" w:sz="0" w:space="0" w:color="auto"/>
                <w:right w:val="none" w:sz="0" w:space="0" w:color="auto"/>
              </w:divBdr>
              <w:divsChild>
                <w:div w:id="1007976">
                  <w:marLeft w:val="0"/>
                  <w:marRight w:val="0"/>
                  <w:marTop w:val="0"/>
                  <w:marBottom w:val="0"/>
                  <w:divBdr>
                    <w:top w:val="none" w:sz="0" w:space="0" w:color="auto"/>
                    <w:left w:val="none" w:sz="0" w:space="0" w:color="auto"/>
                    <w:bottom w:val="none" w:sz="0" w:space="0" w:color="auto"/>
                    <w:right w:val="none" w:sz="0" w:space="0" w:color="auto"/>
                  </w:divBdr>
                  <w:divsChild>
                    <w:div w:id="1664235647">
                      <w:marLeft w:val="0"/>
                      <w:marRight w:val="0"/>
                      <w:marTop w:val="0"/>
                      <w:marBottom w:val="0"/>
                      <w:divBdr>
                        <w:top w:val="none" w:sz="0" w:space="0" w:color="auto"/>
                        <w:left w:val="none" w:sz="0" w:space="0" w:color="auto"/>
                        <w:bottom w:val="none" w:sz="0" w:space="0" w:color="auto"/>
                        <w:right w:val="none" w:sz="0" w:space="0" w:color="auto"/>
                      </w:divBdr>
                      <w:divsChild>
                        <w:div w:id="689532985">
                          <w:marLeft w:val="0"/>
                          <w:marRight w:val="0"/>
                          <w:marTop w:val="0"/>
                          <w:marBottom w:val="0"/>
                          <w:divBdr>
                            <w:top w:val="none" w:sz="0" w:space="0" w:color="auto"/>
                            <w:left w:val="none" w:sz="0" w:space="0" w:color="auto"/>
                            <w:bottom w:val="none" w:sz="0" w:space="0" w:color="auto"/>
                            <w:right w:val="none" w:sz="0" w:space="0" w:color="auto"/>
                          </w:divBdr>
                          <w:divsChild>
                            <w:div w:id="1822189042">
                              <w:marLeft w:val="0"/>
                              <w:marRight w:val="0"/>
                              <w:marTop w:val="0"/>
                              <w:marBottom w:val="0"/>
                              <w:divBdr>
                                <w:top w:val="none" w:sz="0" w:space="0" w:color="auto"/>
                                <w:left w:val="none" w:sz="0" w:space="0" w:color="auto"/>
                                <w:bottom w:val="none" w:sz="0" w:space="0" w:color="auto"/>
                                <w:right w:val="none" w:sz="0" w:space="0" w:color="auto"/>
                              </w:divBdr>
                              <w:divsChild>
                                <w:div w:id="893851159">
                                  <w:marLeft w:val="0"/>
                                  <w:marRight w:val="0"/>
                                  <w:marTop w:val="0"/>
                                  <w:marBottom w:val="0"/>
                                  <w:divBdr>
                                    <w:top w:val="none" w:sz="0" w:space="0" w:color="auto"/>
                                    <w:left w:val="none" w:sz="0" w:space="0" w:color="auto"/>
                                    <w:bottom w:val="none" w:sz="0" w:space="0" w:color="auto"/>
                                    <w:right w:val="none" w:sz="0" w:space="0" w:color="auto"/>
                                  </w:divBdr>
                                  <w:divsChild>
                                    <w:div w:id="512842572">
                                      <w:marLeft w:val="0"/>
                                      <w:marRight w:val="0"/>
                                      <w:marTop w:val="0"/>
                                      <w:marBottom w:val="0"/>
                                      <w:divBdr>
                                        <w:top w:val="none" w:sz="0" w:space="0" w:color="auto"/>
                                        <w:left w:val="none" w:sz="0" w:space="0" w:color="auto"/>
                                        <w:bottom w:val="none" w:sz="0" w:space="0" w:color="auto"/>
                                        <w:right w:val="none" w:sz="0" w:space="0" w:color="auto"/>
                                      </w:divBdr>
                                      <w:divsChild>
                                        <w:div w:id="81536013">
                                          <w:marLeft w:val="0"/>
                                          <w:marRight w:val="0"/>
                                          <w:marTop w:val="0"/>
                                          <w:marBottom w:val="0"/>
                                          <w:divBdr>
                                            <w:top w:val="none" w:sz="0" w:space="0" w:color="auto"/>
                                            <w:left w:val="none" w:sz="0" w:space="0" w:color="auto"/>
                                            <w:bottom w:val="none" w:sz="0" w:space="0" w:color="auto"/>
                                            <w:right w:val="none" w:sz="0" w:space="0" w:color="auto"/>
                                          </w:divBdr>
                                        </w:div>
                                      </w:divsChild>
                                    </w:div>
                                    <w:div w:id="126556618">
                                      <w:marLeft w:val="0"/>
                                      <w:marRight w:val="0"/>
                                      <w:marTop w:val="0"/>
                                      <w:marBottom w:val="0"/>
                                      <w:divBdr>
                                        <w:top w:val="none" w:sz="0" w:space="0" w:color="auto"/>
                                        <w:left w:val="none" w:sz="0" w:space="0" w:color="auto"/>
                                        <w:bottom w:val="none" w:sz="0" w:space="0" w:color="auto"/>
                                        <w:right w:val="none" w:sz="0" w:space="0" w:color="auto"/>
                                      </w:divBdr>
                                      <w:divsChild>
                                        <w:div w:id="551313952">
                                          <w:marLeft w:val="0"/>
                                          <w:marRight w:val="0"/>
                                          <w:marTop w:val="0"/>
                                          <w:marBottom w:val="0"/>
                                          <w:divBdr>
                                            <w:top w:val="none" w:sz="0" w:space="0" w:color="auto"/>
                                            <w:left w:val="none" w:sz="0" w:space="0" w:color="auto"/>
                                            <w:bottom w:val="none" w:sz="0" w:space="0" w:color="auto"/>
                                            <w:right w:val="none" w:sz="0" w:space="0" w:color="auto"/>
                                          </w:divBdr>
                                        </w:div>
                                      </w:divsChild>
                                    </w:div>
                                    <w:div w:id="608586863">
                                      <w:marLeft w:val="0"/>
                                      <w:marRight w:val="0"/>
                                      <w:marTop w:val="0"/>
                                      <w:marBottom w:val="0"/>
                                      <w:divBdr>
                                        <w:top w:val="none" w:sz="0" w:space="0" w:color="auto"/>
                                        <w:left w:val="none" w:sz="0" w:space="0" w:color="auto"/>
                                        <w:bottom w:val="none" w:sz="0" w:space="0" w:color="auto"/>
                                        <w:right w:val="none" w:sz="0" w:space="0" w:color="auto"/>
                                      </w:divBdr>
                                      <w:divsChild>
                                        <w:div w:id="89861394">
                                          <w:marLeft w:val="0"/>
                                          <w:marRight w:val="0"/>
                                          <w:marTop w:val="0"/>
                                          <w:marBottom w:val="0"/>
                                          <w:divBdr>
                                            <w:top w:val="none" w:sz="0" w:space="0" w:color="auto"/>
                                            <w:left w:val="none" w:sz="0" w:space="0" w:color="auto"/>
                                            <w:bottom w:val="none" w:sz="0" w:space="0" w:color="auto"/>
                                            <w:right w:val="none" w:sz="0" w:space="0" w:color="auto"/>
                                          </w:divBdr>
                                        </w:div>
                                      </w:divsChild>
                                    </w:div>
                                    <w:div w:id="906916618">
                                      <w:marLeft w:val="0"/>
                                      <w:marRight w:val="0"/>
                                      <w:marTop w:val="0"/>
                                      <w:marBottom w:val="0"/>
                                      <w:divBdr>
                                        <w:top w:val="none" w:sz="0" w:space="0" w:color="auto"/>
                                        <w:left w:val="none" w:sz="0" w:space="0" w:color="auto"/>
                                        <w:bottom w:val="none" w:sz="0" w:space="0" w:color="auto"/>
                                        <w:right w:val="none" w:sz="0" w:space="0" w:color="auto"/>
                                      </w:divBdr>
                                      <w:divsChild>
                                        <w:div w:id="801575421">
                                          <w:marLeft w:val="0"/>
                                          <w:marRight w:val="0"/>
                                          <w:marTop w:val="0"/>
                                          <w:marBottom w:val="0"/>
                                          <w:divBdr>
                                            <w:top w:val="none" w:sz="0" w:space="0" w:color="auto"/>
                                            <w:left w:val="none" w:sz="0" w:space="0" w:color="auto"/>
                                            <w:bottom w:val="none" w:sz="0" w:space="0" w:color="auto"/>
                                            <w:right w:val="none" w:sz="0" w:space="0" w:color="auto"/>
                                          </w:divBdr>
                                        </w:div>
                                      </w:divsChild>
                                    </w:div>
                                    <w:div w:id="1449198114">
                                      <w:marLeft w:val="0"/>
                                      <w:marRight w:val="0"/>
                                      <w:marTop w:val="0"/>
                                      <w:marBottom w:val="0"/>
                                      <w:divBdr>
                                        <w:top w:val="none" w:sz="0" w:space="0" w:color="auto"/>
                                        <w:left w:val="none" w:sz="0" w:space="0" w:color="auto"/>
                                        <w:bottom w:val="none" w:sz="0" w:space="0" w:color="auto"/>
                                        <w:right w:val="none" w:sz="0" w:space="0" w:color="auto"/>
                                      </w:divBdr>
                                      <w:divsChild>
                                        <w:div w:id="257645016">
                                          <w:marLeft w:val="0"/>
                                          <w:marRight w:val="0"/>
                                          <w:marTop w:val="0"/>
                                          <w:marBottom w:val="0"/>
                                          <w:divBdr>
                                            <w:top w:val="none" w:sz="0" w:space="0" w:color="auto"/>
                                            <w:left w:val="none" w:sz="0" w:space="0" w:color="auto"/>
                                            <w:bottom w:val="none" w:sz="0" w:space="0" w:color="auto"/>
                                            <w:right w:val="none" w:sz="0" w:space="0" w:color="auto"/>
                                          </w:divBdr>
                                        </w:div>
                                      </w:divsChild>
                                    </w:div>
                                    <w:div w:id="1682664562">
                                      <w:marLeft w:val="0"/>
                                      <w:marRight w:val="0"/>
                                      <w:marTop w:val="0"/>
                                      <w:marBottom w:val="0"/>
                                      <w:divBdr>
                                        <w:top w:val="none" w:sz="0" w:space="0" w:color="auto"/>
                                        <w:left w:val="none" w:sz="0" w:space="0" w:color="auto"/>
                                        <w:bottom w:val="none" w:sz="0" w:space="0" w:color="auto"/>
                                        <w:right w:val="none" w:sz="0" w:space="0" w:color="auto"/>
                                      </w:divBdr>
                                      <w:divsChild>
                                        <w:div w:id="1847204712">
                                          <w:marLeft w:val="0"/>
                                          <w:marRight w:val="0"/>
                                          <w:marTop w:val="0"/>
                                          <w:marBottom w:val="0"/>
                                          <w:divBdr>
                                            <w:top w:val="none" w:sz="0" w:space="0" w:color="auto"/>
                                            <w:left w:val="none" w:sz="0" w:space="0" w:color="auto"/>
                                            <w:bottom w:val="none" w:sz="0" w:space="0" w:color="auto"/>
                                            <w:right w:val="none" w:sz="0" w:space="0" w:color="auto"/>
                                          </w:divBdr>
                                        </w:div>
                                      </w:divsChild>
                                    </w:div>
                                    <w:div w:id="1065836433">
                                      <w:marLeft w:val="0"/>
                                      <w:marRight w:val="0"/>
                                      <w:marTop w:val="0"/>
                                      <w:marBottom w:val="0"/>
                                      <w:divBdr>
                                        <w:top w:val="none" w:sz="0" w:space="0" w:color="auto"/>
                                        <w:left w:val="none" w:sz="0" w:space="0" w:color="auto"/>
                                        <w:bottom w:val="none" w:sz="0" w:space="0" w:color="auto"/>
                                        <w:right w:val="none" w:sz="0" w:space="0" w:color="auto"/>
                                      </w:divBdr>
                                      <w:divsChild>
                                        <w:div w:id="2025008536">
                                          <w:marLeft w:val="0"/>
                                          <w:marRight w:val="0"/>
                                          <w:marTop w:val="0"/>
                                          <w:marBottom w:val="0"/>
                                          <w:divBdr>
                                            <w:top w:val="none" w:sz="0" w:space="0" w:color="auto"/>
                                            <w:left w:val="none" w:sz="0" w:space="0" w:color="auto"/>
                                            <w:bottom w:val="none" w:sz="0" w:space="0" w:color="auto"/>
                                            <w:right w:val="none" w:sz="0" w:space="0" w:color="auto"/>
                                          </w:divBdr>
                                        </w:div>
                                      </w:divsChild>
                                    </w:div>
                                    <w:div w:id="56364524">
                                      <w:marLeft w:val="0"/>
                                      <w:marRight w:val="0"/>
                                      <w:marTop w:val="0"/>
                                      <w:marBottom w:val="0"/>
                                      <w:divBdr>
                                        <w:top w:val="none" w:sz="0" w:space="0" w:color="auto"/>
                                        <w:left w:val="none" w:sz="0" w:space="0" w:color="auto"/>
                                        <w:bottom w:val="none" w:sz="0" w:space="0" w:color="auto"/>
                                        <w:right w:val="none" w:sz="0" w:space="0" w:color="auto"/>
                                      </w:divBdr>
                                      <w:divsChild>
                                        <w:div w:id="13142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108526">
      <w:bodyDiv w:val="1"/>
      <w:marLeft w:val="0"/>
      <w:marRight w:val="0"/>
      <w:marTop w:val="0"/>
      <w:marBottom w:val="0"/>
      <w:divBdr>
        <w:top w:val="none" w:sz="0" w:space="0" w:color="auto"/>
        <w:left w:val="none" w:sz="0" w:space="0" w:color="auto"/>
        <w:bottom w:val="none" w:sz="0" w:space="0" w:color="auto"/>
        <w:right w:val="none" w:sz="0" w:space="0" w:color="auto"/>
      </w:divBdr>
      <w:divsChild>
        <w:div w:id="177426285">
          <w:marLeft w:val="0"/>
          <w:marRight w:val="0"/>
          <w:marTop w:val="0"/>
          <w:marBottom w:val="0"/>
          <w:divBdr>
            <w:top w:val="none" w:sz="0" w:space="0" w:color="auto"/>
            <w:left w:val="none" w:sz="0" w:space="0" w:color="auto"/>
            <w:bottom w:val="none" w:sz="0" w:space="0" w:color="auto"/>
            <w:right w:val="none" w:sz="0" w:space="0" w:color="auto"/>
          </w:divBdr>
          <w:divsChild>
            <w:div w:id="1503159236">
              <w:marLeft w:val="0"/>
              <w:marRight w:val="0"/>
              <w:marTop w:val="0"/>
              <w:marBottom w:val="0"/>
              <w:divBdr>
                <w:top w:val="none" w:sz="0" w:space="0" w:color="auto"/>
                <w:left w:val="none" w:sz="0" w:space="0" w:color="auto"/>
                <w:bottom w:val="none" w:sz="0" w:space="0" w:color="auto"/>
                <w:right w:val="none" w:sz="0" w:space="0" w:color="auto"/>
              </w:divBdr>
              <w:divsChild>
                <w:div w:id="198470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32856">
          <w:marLeft w:val="0"/>
          <w:marRight w:val="0"/>
          <w:marTop w:val="0"/>
          <w:marBottom w:val="0"/>
          <w:divBdr>
            <w:top w:val="none" w:sz="0" w:space="0" w:color="auto"/>
            <w:left w:val="none" w:sz="0" w:space="0" w:color="auto"/>
            <w:bottom w:val="none" w:sz="0" w:space="0" w:color="auto"/>
            <w:right w:val="none" w:sz="0" w:space="0" w:color="auto"/>
          </w:divBdr>
          <w:divsChild>
            <w:div w:id="1265721595">
              <w:marLeft w:val="0"/>
              <w:marRight w:val="0"/>
              <w:marTop w:val="0"/>
              <w:marBottom w:val="0"/>
              <w:divBdr>
                <w:top w:val="none" w:sz="0" w:space="0" w:color="auto"/>
                <w:left w:val="none" w:sz="0" w:space="0" w:color="auto"/>
                <w:bottom w:val="none" w:sz="0" w:space="0" w:color="auto"/>
                <w:right w:val="none" w:sz="0" w:space="0" w:color="auto"/>
              </w:divBdr>
              <w:divsChild>
                <w:div w:id="189387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18964">
      <w:bodyDiv w:val="1"/>
      <w:marLeft w:val="0"/>
      <w:marRight w:val="0"/>
      <w:marTop w:val="0"/>
      <w:marBottom w:val="0"/>
      <w:divBdr>
        <w:top w:val="none" w:sz="0" w:space="0" w:color="auto"/>
        <w:left w:val="none" w:sz="0" w:space="0" w:color="auto"/>
        <w:bottom w:val="none" w:sz="0" w:space="0" w:color="auto"/>
        <w:right w:val="none" w:sz="0" w:space="0" w:color="auto"/>
      </w:divBdr>
      <w:divsChild>
        <w:div w:id="1313363800">
          <w:marLeft w:val="0"/>
          <w:marRight w:val="0"/>
          <w:marTop w:val="0"/>
          <w:marBottom w:val="0"/>
          <w:divBdr>
            <w:top w:val="none" w:sz="0" w:space="0" w:color="auto"/>
            <w:left w:val="none" w:sz="0" w:space="0" w:color="auto"/>
            <w:bottom w:val="none" w:sz="0" w:space="0" w:color="auto"/>
            <w:right w:val="none" w:sz="0" w:space="0" w:color="auto"/>
          </w:divBdr>
          <w:divsChild>
            <w:div w:id="129475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6</cp:revision>
  <dcterms:created xsi:type="dcterms:W3CDTF">2026-06-05T11:07:00Z</dcterms:created>
  <dcterms:modified xsi:type="dcterms:W3CDTF">2026-06-05T11:18:00Z</dcterms:modified>
</cp:coreProperties>
</file>