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988" w:rsidRDefault="00C23988" w:rsidP="00C23988">
      <w:pPr>
        <w:pStyle w:val="Heading1"/>
      </w:pPr>
      <w:r>
        <w:t>GM 300Z</w:t>
      </w:r>
    </w:p>
    <w:p w:rsidR="00C23988" w:rsidRDefault="00C23988" w:rsidP="00C23988">
      <w:pPr>
        <w:pStyle w:val="Heading3"/>
      </w:pPr>
      <w:r>
        <w:t xml:space="preserve">High-Purity Graphite </w:t>
      </w:r>
      <w:proofErr w:type="spellStart"/>
      <w:r>
        <w:t>Molded</w:t>
      </w:r>
      <w:proofErr w:type="spellEnd"/>
      <w:r>
        <w:t xml:space="preserve"> Rings with Exceptional Oxidation Resistance</w:t>
      </w:r>
    </w:p>
    <w:p w:rsidR="00C23988" w:rsidRDefault="00C23988" w:rsidP="00C23988">
      <w:pPr>
        <w:pStyle w:val="Heading3"/>
      </w:pPr>
      <w:r>
        <w:t>Product Description</w:t>
      </w:r>
    </w:p>
    <w:p w:rsidR="00C23988" w:rsidRDefault="00C23988" w:rsidP="00C23988">
      <w:pPr>
        <w:pStyle w:val="NormalWeb"/>
      </w:pPr>
      <w:r>
        <w:rPr>
          <w:rStyle w:val="Strong"/>
        </w:rPr>
        <w:t>INMARCO GM 300Z</w:t>
      </w:r>
      <w:r>
        <w:t xml:space="preserve"> is a high-efficiency, ultra-low oxidation graphite </w:t>
      </w:r>
      <w:proofErr w:type="spellStart"/>
      <w:r>
        <w:t>molded</w:t>
      </w:r>
      <w:proofErr w:type="spellEnd"/>
      <w:r>
        <w:t xml:space="preserve"> ring designed for valve stem and seat sealing applications. Each ring is manufactured from flexible graphite foil with ultra-high purity (≥99.85%) and extremely low detrimental material content.</w:t>
      </w:r>
    </w:p>
    <w:p w:rsidR="00C23988" w:rsidRDefault="00C23988" w:rsidP="00C23988">
      <w:pPr>
        <w:pStyle w:val="NormalWeb"/>
      </w:pPr>
      <w:r>
        <w:t>The rings incorporate advanced oxidation inhibitors and corrosion-resistant properties, meeting stringent requirements for nuclear and high-temperature service applications. They are precisely sized, density-controlled, and manufactured without binders, elastomers, or fillers, ensuring superior sealing reliability and long service life.</w:t>
      </w:r>
    </w:p>
    <w:p w:rsidR="00C23988" w:rsidRDefault="00C23988" w:rsidP="00C23988">
      <w:pPr>
        <w:pStyle w:val="NormalWeb"/>
      </w:pPr>
      <w:r>
        <w:t>GM 300Z is specifically developed for critical valve applications handling high-temperature steam, hydrocarbons, heat transfer fluids, and other demanding process media where graphite purity and oxidation resistance are essential.</w:t>
      </w:r>
    </w:p>
    <w:p w:rsidR="00C23988" w:rsidRDefault="0004290C" w:rsidP="00C23988">
      <w:r>
        <w:pict>
          <v:rect id="_x0000_i1025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t>Key Features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Ultra-High Purity Graphite</w:t>
      </w:r>
      <w:r>
        <w:br/>
        <w:t xml:space="preserve">Manufactured from flexible graphite foil with purity levels of ≥99.85% and extremely low </w:t>
      </w:r>
      <w:proofErr w:type="spellStart"/>
      <w:r>
        <w:t>sulfur</w:t>
      </w:r>
      <w:proofErr w:type="spellEnd"/>
      <w:r>
        <w:t xml:space="preserve"> content.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Advanced Oxidation Resistance</w:t>
      </w:r>
      <w:r>
        <w:br/>
        <w:t>Built-in oxidation inhibitors provide exceptional resistance to oxidation at elevated temperatures.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Nuclear Industry Compliance</w:t>
      </w:r>
      <w:r>
        <w:br/>
        <w:t>Designed to meet stringent nuclear industry requirements for valve stem and seat sealing applications.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Binder-Free Construction</w:t>
      </w:r>
      <w:r>
        <w:br/>
        <w:t>Free from elastomers, fillers, and binders for maximum thermal stability and chemical compatibility.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Precision Manufactured</w:t>
      </w:r>
      <w:r>
        <w:br/>
        <w:t>Density-controlled and accurately machined for consistent sealing performance.</w:t>
      </w:r>
    </w:p>
    <w:p w:rsidR="00C23988" w:rsidRDefault="00C23988" w:rsidP="00C23988">
      <w:pPr>
        <w:pStyle w:val="NormalWeb"/>
      </w:pPr>
      <w:r>
        <w:t xml:space="preserve">● </w:t>
      </w:r>
      <w:r>
        <w:rPr>
          <w:rStyle w:val="Strong"/>
        </w:rPr>
        <w:t>Low Detrimental Material Content</w:t>
      </w:r>
      <w:r>
        <w:br/>
        <w:t>Minimizes decomposition and degradation during prolonged high-temperature operation.</w:t>
      </w:r>
    </w:p>
    <w:p w:rsidR="00C23988" w:rsidRDefault="0004290C" w:rsidP="00C23988">
      <w:r>
        <w:pict>
          <v:rect id="_x0000_i1026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t>Applications</w:t>
      </w:r>
    </w:p>
    <w:p w:rsidR="00C23988" w:rsidRDefault="00C23988" w:rsidP="00C23988">
      <w:pPr>
        <w:pStyle w:val="Heading3"/>
      </w:pPr>
      <w:r>
        <w:t>Suitable For</w:t>
      </w:r>
    </w:p>
    <w:p w:rsidR="00C23988" w:rsidRDefault="00C23988" w:rsidP="00C23988">
      <w:pPr>
        <w:pStyle w:val="NormalWeb"/>
      </w:pPr>
      <w:r>
        <w:t>• Valve stem sealing systems</w:t>
      </w:r>
      <w:r>
        <w:br/>
        <w:t>• Valve seat sealing systems</w:t>
      </w:r>
      <w:r>
        <w:br/>
        <w:t>• Rising stem valves</w:t>
      </w:r>
      <w:r>
        <w:br/>
        <w:t>• Rotary valves</w:t>
      </w:r>
      <w:r>
        <w:br/>
      </w:r>
      <w:r>
        <w:lastRenderedPageBreak/>
        <w:t>• Class 150–1500 valves</w:t>
      </w:r>
      <w:r>
        <w:br/>
        <w:t>• Higher pressure classes upon technical review</w:t>
      </w:r>
    </w:p>
    <w:p w:rsidR="00C23988" w:rsidRDefault="00C23988" w:rsidP="00C23988">
      <w:pPr>
        <w:pStyle w:val="Heading3"/>
      </w:pPr>
      <w:r>
        <w:t>Service Media</w:t>
      </w:r>
    </w:p>
    <w:p w:rsidR="00C23988" w:rsidRDefault="00C23988" w:rsidP="00C23988">
      <w:pPr>
        <w:pStyle w:val="NormalWeb"/>
      </w:pPr>
      <w:r>
        <w:t>• Superheated steam</w:t>
      </w:r>
      <w:r>
        <w:br/>
        <w:t>• Saturated steam</w:t>
      </w:r>
      <w:r>
        <w:br/>
        <w:t>• Hydrocarbons</w:t>
      </w:r>
      <w:r>
        <w:br/>
        <w:t>• Heat transfer fluids</w:t>
      </w:r>
      <w:r>
        <w:br/>
        <w:t>• Fuel oil and lubricating oil</w:t>
      </w:r>
      <w:r>
        <w:br/>
        <w:t>• Flue gases</w:t>
      </w:r>
      <w:r>
        <w:br/>
        <w:t>• Hot dry ash</w:t>
      </w:r>
      <w:r>
        <w:br/>
        <w:t>• Emissive fluids</w:t>
      </w:r>
      <w:r>
        <w:br/>
        <w:t>• Chemicals and dyes</w:t>
      </w:r>
      <w:r>
        <w:br/>
        <w:t>• Non-oxidizing liquids and gases</w:t>
      </w:r>
      <w:r>
        <w:br/>
        <w:t>• Nuclear power generation process fluids</w:t>
      </w:r>
    </w:p>
    <w:p w:rsidR="00C23988" w:rsidRDefault="0004290C" w:rsidP="00C23988">
      <w:r>
        <w:pict>
          <v:rect id="_x0000_i1027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777"/>
      </w:tblGrid>
      <w:tr w:rsidR="00C23988" w:rsidTr="00C23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0 – 14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Maximum Temperature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650°C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Maximum Pressure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 xml:space="preserve">250 </w:t>
            </w:r>
            <w:proofErr w:type="gramStart"/>
            <w:r>
              <w:t>bar</w:t>
            </w:r>
            <w:proofErr w:type="gramEnd"/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Size Availability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According to chamber size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Graphite Purity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≥99.85%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proofErr w:type="spellStart"/>
            <w:r>
              <w:t>Sulfur</w:t>
            </w:r>
            <w:proofErr w:type="spellEnd"/>
            <w:r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&lt; 300 ppm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Chloride Content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≤ 10 ppm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Fluoride Content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≤ 10 ppm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Halogen Content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≤ 40 ppm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Density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1.4</w:t>
            </w:r>
            <w:r w:rsidR="0004290C">
              <w:t xml:space="preserve"> to 1.8</w:t>
            </w:r>
            <w:r>
              <w:t xml:space="preserve"> g</w:t>
            </w:r>
            <w:r w:rsidR="0004290C">
              <w:t>m</w:t>
            </w:r>
            <w:bookmarkStart w:id="0" w:name="_GoBack"/>
            <w:bookmarkEnd w:id="0"/>
            <w:r>
              <w:t>/cm³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Oxidation Inhibitor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Built-in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 xml:space="preserve">Flexible Graphite </w:t>
            </w:r>
            <w:proofErr w:type="spellStart"/>
            <w:r>
              <w:t>Molded</w:t>
            </w:r>
            <w:proofErr w:type="spellEnd"/>
            <w:r>
              <w:t xml:space="preserve"> Ring</w:t>
            </w:r>
          </w:p>
        </w:tc>
      </w:tr>
    </w:tbl>
    <w:p w:rsidR="00C23988" w:rsidRDefault="0004290C" w:rsidP="00C23988">
      <w:r>
        <w:pict>
          <v:rect id="_x0000_i1028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t>Thermal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030"/>
      </w:tblGrid>
      <w:tr w:rsidR="00C23988" w:rsidTr="00C23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Thermal Conductivity (Axial)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400 W/</w:t>
            </w:r>
            <w:proofErr w:type="spellStart"/>
            <w:r>
              <w:t>mK</w:t>
            </w:r>
            <w:proofErr w:type="spellEnd"/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Thermal Conductivity (Radial)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6 W/</w:t>
            </w:r>
            <w:proofErr w:type="spellStart"/>
            <w:r>
              <w:t>mK</w:t>
            </w:r>
            <w:proofErr w:type="spellEnd"/>
          </w:p>
        </w:tc>
      </w:tr>
      <w:tr w:rsidR="00C23988" w:rsidTr="00C23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88" w:rsidRDefault="00C23988">
            <w:r>
              <w:t>Coefficient of Friction (Steel)</w:t>
            </w:r>
          </w:p>
        </w:tc>
        <w:tc>
          <w:tcPr>
            <w:tcW w:w="0" w:type="auto"/>
            <w:vAlign w:val="center"/>
            <w:hideMark/>
          </w:tcPr>
          <w:p w:rsidR="00C23988" w:rsidRDefault="00C23988">
            <w:r>
              <w:t>0.05</w:t>
            </w:r>
          </w:p>
        </w:tc>
      </w:tr>
    </w:tbl>
    <w:p w:rsidR="00C23988" w:rsidRDefault="0004290C" w:rsidP="00C23988">
      <w:r>
        <w:pict>
          <v:rect id="_x0000_i1029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lastRenderedPageBreak/>
        <w:t>Performance Benefits</w:t>
      </w:r>
    </w:p>
    <w:p w:rsidR="00C23988" w:rsidRDefault="00C23988" w:rsidP="00C23988">
      <w:pPr>
        <w:pStyle w:val="NormalWeb"/>
      </w:pPr>
      <w:r>
        <w:t>• Ultra-high purity graphite construction ensures reliable sealing performance in critical applications.</w:t>
      </w:r>
    </w:p>
    <w:p w:rsidR="00C23988" w:rsidRDefault="00C23988" w:rsidP="00C23988">
      <w:pPr>
        <w:pStyle w:val="NormalWeb"/>
      </w:pPr>
      <w:r>
        <w:t>• Exceptional oxidation resistance extends service life in high-temperature environments.</w:t>
      </w:r>
    </w:p>
    <w:p w:rsidR="00C23988" w:rsidRDefault="00C23988" w:rsidP="00C23988">
      <w:pPr>
        <w:pStyle w:val="NormalWeb"/>
      </w:pPr>
      <w:r>
        <w:t xml:space="preserve">• Low </w:t>
      </w:r>
      <w:proofErr w:type="spellStart"/>
      <w:r>
        <w:t>sulfur</w:t>
      </w:r>
      <w:proofErr w:type="spellEnd"/>
      <w:r>
        <w:t xml:space="preserve"> and halogen content make it suitable for nuclear and sensitive process applications.</w:t>
      </w:r>
    </w:p>
    <w:p w:rsidR="00C23988" w:rsidRDefault="00C23988" w:rsidP="00C23988">
      <w:pPr>
        <w:pStyle w:val="NormalWeb"/>
      </w:pPr>
      <w:r>
        <w:t>• Excellent thermal conductivity promotes efficient heat dissipation.</w:t>
      </w:r>
    </w:p>
    <w:p w:rsidR="00C23988" w:rsidRDefault="00C23988" w:rsidP="00C23988">
      <w:pPr>
        <w:pStyle w:val="NormalWeb"/>
      </w:pPr>
      <w:r>
        <w:t>• Low friction coefficient minimizes stem wear and operating torque.</w:t>
      </w:r>
    </w:p>
    <w:p w:rsidR="00C23988" w:rsidRDefault="00C23988" w:rsidP="00C23988">
      <w:pPr>
        <w:pStyle w:val="NormalWeb"/>
      </w:pPr>
      <w:r>
        <w:t>• Suitable for both rotary and rising-stem valve applications.</w:t>
      </w:r>
    </w:p>
    <w:p w:rsidR="00C23988" w:rsidRDefault="00C23988" w:rsidP="00C23988">
      <w:pPr>
        <w:pStyle w:val="NormalWeb"/>
      </w:pPr>
      <w:r>
        <w:t>• Compatible with high-pressure steam, hydrocarbons, and a wide range of industrial process media.</w:t>
      </w:r>
    </w:p>
    <w:p w:rsidR="00C23988" w:rsidRDefault="00C23988" w:rsidP="00C23988">
      <w:pPr>
        <w:pStyle w:val="NormalWeb"/>
      </w:pPr>
      <w:r>
        <w:t>• Fire-safe design suitable for safety-critical installations.</w:t>
      </w:r>
    </w:p>
    <w:p w:rsidR="00C23988" w:rsidRDefault="00C23988" w:rsidP="00C23988">
      <w:pPr>
        <w:pStyle w:val="NormalWeb"/>
      </w:pPr>
      <w:r>
        <w:t>• Available for valve pressure classes from Class 150 to Class 1500; consult INMARCO for Class 2500 applications.</w:t>
      </w:r>
    </w:p>
    <w:p w:rsidR="00C23988" w:rsidRDefault="0004290C" w:rsidP="00C23988">
      <w:r>
        <w:pict>
          <v:rect id="_x0000_i1030" style="width:0;height:1.5pt" o:hralign="center" o:hrstd="t" o:hr="t" fillcolor="#a0a0a0" stroked="f"/>
        </w:pict>
      </w:r>
    </w:p>
    <w:p w:rsidR="00C23988" w:rsidRDefault="00C23988" w:rsidP="00C23988">
      <w:pPr>
        <w:pStyle w:val="Heading2"/>
      </w:pPr>
      <w:r>
        <w:t>Certifications &amp; Compliance</w:t>
      </w:r>
    </w:p>
    <w:p w:rsidR="00C23988" w:rsidRDefault="00C23988" w:rsidP="00C23988">
      <w:pPr>
        <w:pStyle w:val="NormalWeb"/>
      </w:pPr>
      <w:r>
        <w:t xml:space="preserve">• Graphite foil tested and certified as per </w:t>
      </w:r>
      <w:r>
        <w:rPr>
          <w:rStyle w:val="Strong"/>
        </w:rPr>
        <w:t>Shell MESC SPE 85/203</w:t>
      </w:r>
    </w:p>
    <w:p w:rsidR="00C23988" w:rsidRDefault="00C23988" w:rsidP="00C23988">
      <w:pPr>
        <w:pStyle w:val="NormalWeb"/>
      </w:pPr>
      <w:r>
        <w:t>• Oxidation performance verified using gravimetric analysis</w:t>
      </w:r>
    </w:p>
    <w:p w:rsidR="00C23988" w:rsidRDefault="00C23988" w:rsidP="00C23988">
      <w:pPr>
        <w:pStyle w:val="NormalWeb"/>
      </w:pPr>
      <w:r>
        <w:t xml:space="preserve">• Typical oxidation rate: </w:t>
      </w:r>
      <w:r>
        <w:rPr>
          <w:rStyle w:val="Strong"/>
        </w:rPr>
        <w:t>2.6% weight loss per hour at 670°C for 4 hours</w:t>
      </w:r>
    </w:p>
    <w:p w:rsidR="00C23988" w:rsidRDefault="00C23988" w:rsidP="00C23988">
      <w:pPr>
        <w:pStyle w:val="NormalWeb"/>
      </w:pPr>
      <w:r>
        <w:t>• EN 10204 Type 2.2 Material Certificate available upon request</w:t>
      </w:r>
    </w:p>
    <w:p w:rsidR="00231C21" w:rsidRPr="00C23988" w:rsidRDefault="00231C21" w:rsidP="00C23988"/>
    <w:sectPr w:rsidR="00231C21" w:rsidRPr="00C23988" w:rsidSect="00575BBE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825"/>
    <w:multiLevelType w:val="multilevel"/>
    <w:tmpl w:val="99B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0F2"/>
    <w:multiLevelType w:val="multilevel"/>
    <w:tmpl w:val="E5A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E1F"/>
    <w:multiLevelType w:val="multilevel"/>
    <w:tmpl w:val="649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8358F"/>
    <w:multiLevelType w:val="multilevel"/>
    <w:tmpl w:val="EC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7646"/>
    <w:multiLevelType w:val="multilevel"/>
    <w:tmpl w:val="3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E58FE"/>
    <w:multiLevelType w:val="multilevel"/>
    <w:tmpl w:val="B2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324BA"/>
    <w:rsid w:val="0004290C"/>
    <w:rsid w:val="00180BE7"/>
    <w:rsid w:val="00231C21"/>
    <w:rsid w:val="00437234"/>
    <w:rsid w:val="004A37C2"/>
    <w:rsid w:val="00502AD8"/>
    <w:rsid w:val="00575BBE"/>
    <w:rsid w:val="00663368"/>
    <w:rsid w:val="006B402F"/>
    <w:rsid w:val="006D5514"/>
    <w:rsid w:val="00975039"/>
    <w:rsid w:val="00B2707D"/>
    <w:rsid w:val="00C2377F"/>
    <w:rsid w:val="00C23988"/>
    <w:rsid w:val="00C9235A"/>
    <w:rsid w:val="00CB30BD"/>
    <w:rsid w:val="00D40AD5"/>
    <w:rsid w:val="00D840D2"/>
    <w:rsid w:val="00DA5803"/>
    <w:rsid w:val="00DB7ED0"/>
    <w:rsid w:val="00E4436D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FFE2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50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3</cp:revision>
  <dcterms:created xsi:type="dcterms:W3CDTF">2026-06-03T11:17:00Z</dcterms:created>
  <dcterms:modified xsi:type="dcterms:W3CDTF">2026-06-04T08:10:00Z</dcterms:modified>
</cp:coreProperties>
</file>