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51E6" w:rsidRDefault="002E51E6" w:rsidP="002E51E6">
      <w:pPr>
        <w:pStyle w:val="Heading1"/>
        <w:ind w:left="-426"/>
      </w:pPr>
      <w:r>
        <w:t>Style HY 504</w:t>
      </w:r>
    </w:p>
    <w:p w:rsidR="002E51E6" w:rsidRDefault="002E51E6" w:rsidP="002E51E6">
      <w:pPr>
        <w:pStyle w:val="Heading3"/>
        <w:ind w:left="-426"/>
      </w:pPr>
      <w:r>
        <w:t>Enhanced Duplex Braided Packing with Superior Thermal Dissipation</w:t>
      </w:r>
    </w:p>
    <w:p w:rsidR="008B3A24" w:rsidRDefault="008B3A24" w:rsidP="008B3A24">
      <w:pPr>
        <w:pStyle w:val="Heading2"/>
      </w:pPr>
      <w:r>
        <w:t>1. PRODUCT OVERVIEW</w:t>
      </w:r>
    </w:p>
    <w:p w:rsidR="008B3A24" w:rsidRDefault="008B3A24" w:rsidP="008B3A24">
      <w:pPr>
        <w:pStyle w:val="isselectedend"/>
      </w:pPr>
      <w:r>
        <w:rPr>
          <w:rStyle w:val="Strong"/>
          <w:rFonts w:eastAsiaTheme="majorEastAsia"/>
        </w:rPr>
        <w:t>INMARCO 504</w:t>
      </w:r>
      <w:r>
        <w:t xml:space="preserve"> is manufactured from premium-grade expanded PTFE and graphite yarns molecularly bonded to provide superior sealing performance. The packing offers excellent chemical resistance, exceptional heat dissipation, and high resiliency, ensuring long operational life in demanding industrial applications.</w:t>
      </w:r>
    </w:p>
    <w:p w:rsidR="008B3A24" w:rsidRDefault="008B3A24" w:rsidP="008B3A24">
      <w:pPr>
        <w:pStyle w:val="isselectedend"/>
      </w:pPr>
      <w:r>
        <w:t>Its anti-friction characteristics help protect shafts and sleeves from wear and erosion while maintaining dimensional stability under varying operating conditions. The packing requires minimal gland loading to achieve an effective seal and performs reliably at high peripheral speeds with extremely low leakage rates.</w:t>
      </w:r>
    </w:p>
    <w:p w:rsidR="008B3A24" w:rsidRDefault="008B3A24" w:rsidP="008B3A24">
      <w:pPr>
        <w:pStyle w:val="isselectedend"/>
      </w:pPr>
      <w:r>
        <w:t>504 is suitable for pumps, valves, agitators, reactors, and other rotating equipment handling a wide range of industrial media.</w:t>
      </w:r>
    </w:p>
    <w:p w:rsidR="008B3A24" w:rsidRDefault="008B3A24" w:rsidP="008B3A24">
      <w:pPr>
        <w:pStyle w:val="isselectedend"/>
      </w:pPr>
      <w:r>
        <w:t xml:space="preserve">The packing is tested and qualified as per </w:t>
      </w:r>
      <w:r>
        <w:rPr>
          <w:rStyle w:val="Strong"/>
          <w:rFonts w:eastAsiaTheme="majorEastAsia"/>
        </w:rPr>
        <w:t>EN 16752 (Centrifugal Pumps Test Procedure for Seal Packing), Tightness Class T1</w:t>
      </w:r>
      <w:r>
        <w:t>.</w:t>
      </w:r>
    </w:p>
    <w:p w:rsidR="008B3A24" w:rsidRDefault="00B25A92" w:rsidP="008B3A24">
      <w:r>
        <w:pict>
          <v:rect id="_x0000_i1025" style="width:0;height:1.5pt" o:hralign="center" o:hrstd="t" o:hr="t" fillcolor="#a0a0a0" stroked="f"/>
        </w:pict>
      </w:r>
    </w:p>
    <w:p w:rsidR="008B3A24" w:rsidRDefault="008B3A24" w:rsidP="008B3A24">
      <w:pPr>
        <w:pStyle w:val="Heading2"/>
      </w:pPr>
      <w:r>
        <w:t>2. KEY FEATURES</w:t>
      </w:r>
    </w:p>
    <w:p w:rsidR="008B3A24" w:rsidRDefault="008B3A24" w:rsidP="008B3A24">
      <w:pPr>
        <w:pStyle w:val="isselectedend"/>
      </w:pPr>
      <w:r>
        <w:t>● Manufactured from premium-grade expanded PTFE and graphite.</w:t>
      </w:r>
    </w:p>
    <w:p w:rsidR="008B3A24" w:rsidRDefault="008B3A24" w:rsidP="008B3A24">
      <w:pPr>
        <w:pStyle w:val="isselectedend"/>
      </w:pPr>
      <w:r>
        <w:t>● Molecularly bonded construction ensures superior strength and sealing performance.</w:t>
      </w:r>
    </w:p>
    <w:p w:rsidR="008B3A24" w:rsidRDefault="008B3A24" w:rsidP="008B3A24">
      <w:pPr>
        <w:pStyle w:val="isselectedend"/>
      </w:pPr>
      <w:r>
        <w:t>● Excellent heat dissipation for cooler operation and longer packing life.</w:t>
      </w:r>
    </w:p>
    <w:p w:rsidR="008B3A24" w:rsidRDefault="008B3A24" w:rsidP="008B3A24">
      <w:pPr>
        <w:pStyle w:val="isselectedend"/>
      </w:pPr>
      <w:r>
        <w:t>● Exceptional chemical resistance across a broad range of industrial media.</w:t>
      </w:r>
    </w:p>
    <w:p w:rsidR="008B3A24" w:rsidRDefault="008B3A24" w:rsidP="008B3A24">
      <w:pPr>
        <w:pStyle w:val="isselectedend"/>
      </w:pPr>
      <w:r>
        <w:t>● Low-friction characteristics reduce shaft and sleeve wear.</w:t>
      </w:r>
    </w:p>
    <w:p w:rsidR="008B3A24" w:rsidRDefault="008B3A24" w:rsidP="008B3A24">
      <w:pPr>
        <w:pStyle w:val="isselectedend"/>
      </w:pPr>
      <w:r>
        <w:t>● Dimensionally stable construction maintains sealing integrity under varying conditions.</w:t>
      </w:r>
    </w:p>
    <w:p w:rsidR="008B3A24" w:rsidRDefault="008B3A24" w:rsidP="008B3A24">
      <w:pPr>
        <w:pStyle w:val="isselectedend"/>
      </w:pPr>
      <w:r>
        <w:t>● Requires minimal gland loading to achieve an effective seal.</w:t>
      </w:r>
    </w:p>
    <w:p w:rsidR="008B3A24" w:rsidRDefault="008B3A24" w:rsidP="008B3A24">
      <w:pPr>
        <w:pStyle w:val="isselectedend"/>
      </w:pPr>
      <w:r>
        <w:t>● Suitable for high-speed rotary equipment with extremely low leakage rates.</w:t>
      </w:r>
    </w:p>
    <w:p w:rsidR="008B3A24" w:rsidRDefault="008B3A24" w:rsidP="008B3A24">
      <w:pPr>
        <w:pStyle w:val="isselectedend"/>
      </w:pPr>
      <w:r>
        <w:t>● Excellent resistance to corrosion and abrasion.</w:t>
      </w:r>
    </w:p>
    <w:p w:rsidR="008B3A24" w:rsidRDefault="008B3A24" w:rsidP="008B3A24">
      <w:pPr>
        <w:pStyle w:val="isselectedend"/>
      </w:pPr>
      <w:r>
        <w:t>● Tested and qualified according to EN 16752 Tightness Class T1.</w:t>
      </w:r>
    </w:p>
    <w:p w:rsidR="008B3A24" w:rsidRDefault="00B25A92" w:rsidP="008B3A24">
      <w:r>
        <w:pict>
          <v:rect id="_x0000_i1026" style="width:0;height:1.5pt" o:hralign="center" o:hrstd="t" o:hr="t" fillcolor="#a0a0a0" stroked="f"/>
        </w:pict>
      </w:r>
    </w:p>
    <w:p w:rsidR="008B3A24" w:rsidRDefault="008B3A24" w:rsidP="008B3A24">
      <w:pPr>
        <w:pStyle w:val="Heading2"/>
      </w:pPr>
      <w:r>
        <w:t>3. PERFORMANCE ADVANTAGES</w:t>
      </w:r>
    </w:p>
    <w:p w:rsidR="008B3A24" w:rsidRDefault="008B3A24" w:rsidP="008B3A24">
      <w:pPr>
        <w:pStyle w:val="isselectedend"/>
      </w:pPr>
      <w:r>
        <w:t>● Outstanding sealing performance in demanding industrial environments.</w:t>
      </w:r>
    </w:p>
    <w:p w:rsidR="008B3A24" w:rsidRDefault="008B3A24" w:rsidP="008B3A24">
      <w:pPr>
        <w:pStyle w:val="isselectedend"/>
      </w:pPr>
      <w:r>
        <w:t>● High thermal conductivity promotes efficient heat dissipation.</w:t>
      </w:r>
    </w:p>
    <w:p w:rsidR="008B3A24" w:rsidRDefault="008B3A24" w:rsidP="008B3A24">
      <w:pPr>
        <w:pStyle w:val="isselectedend"/>
      </w:pPr>
      <w:r>
        <w:t>● Superior chemical compatibility with most industrial fluids.</w:t>
      </w:r>
    </w:p>
    <w:p w:rsidR="008B3A24" w:rsidRDefault="008B3A24" w:rsidP="008B3A24">
      <w:pPr>
        <w:pStyle w:val="isselectedend"/>
      </w:pPr>
      <w:r>
        <w:lastRenderedPageBreak/>
        <w:t xml:space="preserve">● Reduced equipment </w:t>
      </w:r>
      <w:proofErr w:type="gramStart"/>
      <w:r>
        <w:t>wear</w:t>
      </w:r>
      <w:proofErr w:type="gramEnd"/>
      <w:r>
        <w:t xml:space="preserve"> due to low friction operation.</w:t>
      </w:r>
    </w:p>
    <w:p w:rsidR="008B3A24" w:rsidRDefault="008B3A24" w:rsidP="008B3A24">
      <w:pPr>
        <w:pStyle w:val="isselectedend"/>
      </w:pPr>
      <w:r>
        <w:t>● Reliable sealing performance under dynamic operating conditions.</w:t>
      </w:r>
    </w:p>
    <w:p w:rsidR="008B3A24" w:rsidRDefault="008B3A24" w:rsidP="008B3A24">
      <w:pPr>
        <w:pStyle w:val="isselectedend"/>
      </w:pPr>
      <w:r>
        <w:t>● Excellent dimensional stability during prolonged service.</w:t>
      </w:r>
    </w:p>
    <w:p w:rsidR="008B3A24" w:rsidRDefault="008B3A24" w:rsidP="008B3A24">
      <w:pPr>
        <w:pStyle w:val="isselectedend"/>
      </w:pPr>
      <w:r>
        <w:t>● Low maintenance requirements and extended service life.</w:t>
      </w:r>
    </w:p>
    <w:p w:rsidR="008B3A24" w:rsidRDefault="008B3A24" w:rsidP="008B3A24">
      <w:pPr>
        <w:pStyle w:val="isselectedend"/>
      </w:pPr>
      <w:r>
        <w:t>● Suitable for high-speed and high-pressure applications.</w:t>
      </w:r>
    </w:p>
    <w:p w:rsidR="008B3A24" w:rsidRDefault="008B3A24" w:rsidP="008B3A24">
      <w:pPr>
        <w:pStyle w:val="isselectedend"/>
      </w:pPr>
      <w:r>
        <w:t>● Consistent performance across a wide range of process industries.</w:t>
      </w:r>
    </w:p>
    <w:p w:rsidR="008B3A24" w:rsidRDefault="008B3A24" w:rsidP="008B3A24">
      <w:pPr>
        <w:pStyle w:val="isselectedend"/>
      </w:pPr>
      <w:r>
        <w:t>● Provides dependable leak-free operation.</w:t>
      </w:r>
    </w:p>
    <w:p w:rsidR="008B3A24" w:rsidRDefault="00B25A92" w:rsidP="008B3A24">
      <w:r>
        <w:pict>
          <v:rect id="_x0000_i1027" style="width:0;height:1.5pt" o:hralign="center" o:hrstd="t" o:hr="t" fillcolor="#a0a0a0" stroked="f"/>
        </w:pict>
      </w:r>
    </w:p>
    <w:p w:rsidR="008B3A24" w:rsidRDefault="008B3A24" w:rsidP="008B3A24">
      <w:pPr>
        <w:pStyle w:val="Heading2"/>
      </w:pPr>
      <w: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860"/>
        <w:gridCol w:w="1344"/>
      </w:tblGrid>
      <w:tr w:rsidR="00B25A92" w:rsidTr="006C1B21">
        <w:trPr>
          <w:tblCellSpacing w:w="15" w:type="dxa"/>
        </w:trPr>
        <w:tc>
          <w:tcPr>
            <w:tcW w:w="0" w:type="auto"/>
            <w:vAlign w:val="center"/>
            <w:hideMark/>
          </w:tcPr>
          <w:p w:rsidR="00B25A92" w:rsidRDefault="00B25A92">
            <w:pPr>
              <w:jc w:val="center"/>
              <w:rPr>
                <w:b/>
                <w:bCs/>
              </w:rPr>
            </w:pPr>
            <w:r>
              <w:rPr>
                <w:b/>
                <w:bCs/>
              </w:rPr>
              <w:t>Properties</w:t>
            </w:r>
          </w:p>
        </w:tc>
        <w:tc>
          <w:tcPr>
            <w:tcW w:w="0" w:type="auto"/>
            <w:vAlign w:val="center"/>
            <w:hideMark/>
          </w:tcPr>
          <w:p w:rsidR="00B25A92" w:rsidRDefault="00B25A92">
            <w:pPr>
              <w:jc w:val="center"/>
              <w:rPr>
                <w:b/>
                <w:bCs/>
              </w:rPr>
            </w:pPr>
            <w:r>
              <w:rPr>
                <w:b/>
                <w:bCs/>
              </w:rPr>
              <w:t>Rotating</w:t>
            </w:r>
          </w:p>
        </w:tc>
        <w:tc>
          <w:tcPr>
            <w:tcW w:w="0" w:type="auto"/>
            <w:vAlign w:val="center"/>
            <w:hideMark/>
          </w:tcPr>
          <w:p w:rsidR="00B25A92" w:rsidRDefault="00B25A92">
            <w:pPr>
              <w:jc w:val="center"/>
              <w:rPr>
                <w:b/>
                <w:bCs/>
              </w:rPr>
            </w:pPr>
            <w:r>
              <w:rPr>
                <w:b/>
                <w:bCs/>
              </w:rPr>
              <w:t>Reciprocating</w:t>
            </w:r>
          </w:p>
        </w:tc>
      </w:tr>
      <w:tr w:rsidR="00B25A92" w:rsidTr="006C1B21">
        <w:trPr>
          <w:tblCellSpacing w:w="15" w:type="dxa"/>
        </w:trPr>
        <w:tc>
          <w:tcPr>
            <w:tcW w:w="0" w:type="auto"/>
            <w:vAlign w:val="center"/>
            <w:hideMark/>
          </w:tcPr>
          <w:p w:rsidR="00B25A92" w:rsidRDefault="00B25A92">
            <w:r>
              <w:t>Pressure (Bar)</w:t>
            </w:r>
          </w:p>
        </w:tc>
        <w:tc>
          <w:tcPr>
            <w:tcW w:w="0" w:type="auto"/>
            <w:vAlign w:val="center"/>
            <w:hideMark/>
          </w:tcPr>
          <w:p w:rsidR="00B25A92" w:rsidRDefault="00B25A92">
            <w:r>
              <w:t>100</w:t>
            </w:r>
          </w:p>
        </w:tc>
        <w:tc>
          <w:tcPr>
            <w:tcW w:w="0" w:type="auto"/>
            <w:vAlign w:val="center"/>
            <w:hideMark/>
          </w:tcPr>
          <w:p w:rsidR="00B25A92" w:rsidRDefault="00B25A92">
            <w:r>
              <w:t>200</w:t>
            </w:r>
          </w:p>
        </w:tc>
        <w:bookmarkStart w:id="0" w:name="_GoBack"/>
        <w:bookmarkEnd w:id="0"/>
      </w:tr>
      <w:tr w:rsidR="00B25A92" w:rsidTr="006C1B21">
        <w:trPr>
          <w:tblCellSpacing w:w="15" w:type="dxa"/>
        </w:trPr>
        <w:tc>
          <w:tcPr>
            <w:tcW w:w="0" w:type="auto"/>
            <w:vAlign w:val="center"/>
            <w:hideMark/>
          </w:tcPr>
          <w:p w:rsidR="00B25A92" w:rsidRDefault="00B25A92">
            <w:r>
              <w:t>Velocity (m/s)</w:t>
            </w:r>
          </w:p>
        </w:tc>
        <w:tc>
          <w:tcPr>
            <w:tcW w:w="0" w:type="auto"/>
            <w:vAlign w:val="center"/>
            <w:hideMark/>
          </w:tcPr>
          <w:p w:rsidR="00B25A92" w:rsidRDefault="00B25A92">
            <w:r>
              <w:t>25</w:t>
            </w:r>
          </w:p>
        </w:tc>
        <w:tc>
          <w:tcPr>
            <w:tcW w:w="0" w:type="auto"/>
            <w:vAlign w:val="center"/>
            <w:hideMark/>
          </w:tcPr>
          <w:p w:rsidR="00B25A92" w:rsidRDefault="00B25A92">
            <w:r>
              <w:t>10</w:t>
            </w:r>
          </w:p>
        </w:tc>
      </w:tr>
    </w:tbl>
    <w:p w:rsidR="008B3A24" w:rsidRDefault="008B3A24" w:rsidP="008B3A24">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1669"/>
      </w:tblGrid>
      <w:tr w:rsidR="008B3A24" w:rsidTr="006C1B21">
        <w:trPr>
          <w:tblCellSpacing w:w="15" w:type="dxa"/>
        </w:trPr>
        <w:tc>
          <w:tcPr>
            <w:tcW w:w="0" w:type="auto"/>
            <w:vAlign w:val="center"/>
            <w:hideMark/>
          </w:tcPr>
          <w:p w:rsidR="008B3A24" w:rsidRDefault="008B3A24">
            <w:r>
              <w:t>Property</w:t>
            </w:r>
          </w:p>
        </w:tc>
        <w:tc>
          <w:tcPr>
            <w:tcW w:w="0" w:type="auto"/>
            <w:vAlign w:val="center"/>
            <w:hideMark/>
          </w:tcPr>
          <w:p w:rsidR="008B3A24" w:rsidRDefault="008B3A24">
            <w:r>
              <w:t>Value</w:t>
            </w:r>
          </w:p>
        </w:tc>
      </w:tr>
      <w:tr w:rsidR="008B3A24" w:rsidTr="006C1B21">
        <w:trPr>
          <w:tblCellSpacing w:w="15" w:type="dxa"/>
        </w:trPr>
        <w:tc>
          <w:tcPr>
            <w:tcW w:w="0" w:type="auto"/>
            <w:vAlign w:val="center"/>
            <w:hideMark/>
          </w:tcPr>
          <w:p w:rsidR="008B3A24" w:rsidRDefault="008B3A24">
            <w:r>
              <w:t>pH Range</w:t>
            </w:r>
          </w:p>
        </w:tc>
        <w:tc>
          <w:tcPr>
            <w:tcW w:w="0" w:type="auto"/>
            <w:vAlign w:val="center"/>
            <w:hideMark/>
          </w:tcPr>
          <w:p w:rsidR="008B3A24" w:rsidRDefault="008B3A24">
            <w:r>
              <w:t>0 – 14</w:t>
            </w:r>
          </w:p>
        </w:tc>
      </w:tr>
      <w:tr w:rsidR="008B3A24" w:rsidTr="006C1B21">
        <w:trPr>
          <w:tblCellSpacing w:w="15" w:type="dxa"/>
        </w:trPr>
        <w:tc>
          <w:tcPr>
            <w:tcW w:w="0" w:type="auto"/>
            <w:vAlign w:val="center"/>
            <w:hideMark/>
          </w:tcPr>
          <w:p w:rsidR="008B3A24" w:rsidRDefault="008B3A24">
            <w:r>
              <w:t>Temperature Range</w:t>
            </w:r>
          </w:p>
        </w:tc>
        <w:tc>
          <w:tcPr>
            <w:tcW w:w="0" w:type="auto"/>
            <w:vAlign w:val="center"/>
            <w:hideMark/>
          </w:tcPr>
          <w:p w:rsidR="008B3A24" w:rsidRDefault="008B3A24">
            <w:r>
              <w:t>-200°C to +300°C</w:t>
            </w:r>
          </w:p>
        </w:tc>
      </w:tr>
      <w:tr w:rsidR="008B3A24" w:rsidTr="006C1B21">
        <w:trPr>
          <w:tblCellSpacing w:w="15" w:type="dxa"/>
        </w:trPr>
        <w:tc>
          <w:tcPr>
            <w:tcW w:w="0" w:type="auto"/>
            <w:vAlign w:val="center"/>
            <w:hideMark/>
          </w:tcPr>
          <w:p w:rsidR="008B3A24" w:rsidRDefault="008B3A24">
            <w:r>
              <w:t>Size Range</w:t>
            </w:r>
          </w:p>
        </w:tc>
        <w:tc>
          <w:tcPr>
            <w:tcW w:w="0" w:type="auto"/>
            <w:vAlign w:val="center"/>
            <w:hideMark/>
          </w:tcPr>
          <w:p w:rsidR="008B3A24" w:rsidRDefault="008B3A24">
            <w:r>
              <w:t>3 mm² to 35 mm²</w:t>
            </w:r>
          </w:p>
        </w:tc>
      </w:tr>
    </w:tbl>
    <w:p w:rsidR="008B3A24" w:rsidRDefault="00B25A92" w:rsidP="008B3A24">
      <w:r>
        <w:pict>
          <v:rect id="_x0000_i1028" style="width:0;height:1.5pt" o:hralign="center" o:hrstd="t" o:hr="t" fillcolor="#a0a0a0" stroked="f"/>
        </w:pict>
      </w:r>
    </w:p>
    <w:p w:rsidR="008B3A24" w:rsidRDefault="008B3A24" w:rsidP="008B3A24">
      <w:pPr>
        <w:pStyle w:val="Heading2"/>
      </w:pPr>
      <w:r>
        <w:t>5. SERVICE MEDIA</w:t>
      </w:r>
    </w:p>
    <w:p w:rsidR="008B3A24" w:rsidRDefault="008B3A24" w:rsidP="008B3A24">
      <w:pPr>
        <w:pStyle w:val="isselectedend"/>
      </w:pPr>
      <w:r>
        <w:t>• Water</w:t>
      </w:r>
    </w:p>
    <w:p w:rsidR="008B3A24" w:rsidRDefault="008B3A24" w:rsidP="008B3A24">
      <w:pPr>
        <w:pStyle w:val="isselectedend"/>
      </w:pPr>
      <w:r>
        <w:t>• Industrial process fluids</w:t>
      </w:r>
    </w:p>
    <w:p w:rsidR="008B3A24" w:rsidRDefault="008B3A24" w:rsidP="008B3A24">
      <w:pPr>
        <w:pStyle w:val="isselectedend"/>
      </w:pPr>
      <w:r>
        <w:t>• Hydrocarbons</w:t>
      </w:r>
    </w:p>
    <w:p w:rsidR="008B3A24" w:rsidRDefault="008B3A24" w:rsidP="008B3A24">
      <w:pPr>
        <w:pStyle w:val="isselectedend"/>
      </w:pPr>
      <w:r>
        <w:t>• Solvents</w:t>
      </w:r>
    </w:p>
    <w:p w:rsidR="008B3A24" w:rsidRDefault="008B3A24" w:rsidP="008B3A24">
      <w:pPr>
        <w:pStyle w:val="isselectedend"/>
      </w:pPr>
      <w:r>
        <w:t>• Chemicals</w:t>
      </w:r>
    </w:p>
    <w:p w:rsidR="008B3A24" w:rsidRDefault="008B3A24" w:rsidP="008B3A24">
      <w:pPr>
        <w:pStyle w:val="isselectedend"/>
      </w:pPr>
      <w:r>
        <w:t>• Acids</w:t>
      </w:r>
    </w:p>
    <w:p w:rsidR="008B3A24" w:rsidRDefault="008B3A24" w:rsidP="008B3A24">
      <w:pPr>
        <w:pStyle w:val="isselectedend"/>
      </w:pPr>
      <w:r>
        <w:t>• Alkalis</w:t>
      </w:r>
    </w:p>
    <w:p w:rsidR="008B3A24" w:rsidRDefault="008B3A24" w:rsidP="008B3A24">
      <w:pPr>
        <w:pStyle w:val="isselectedend"/>
      </w:pPr>
      <w:r>
        <w:t>• Slurries</w:t>
      </w:r>
    </w:p>
    <w:p w:rsidR="008B3A24" w:rsidRDefault="008B3A24" w:rsidP="008B3A24">
      <w:pPr>
        <w:pStyle w:val="isselectedend"/>
      </w:pPr>
      <w:r>
        <w:t>• Process liquids</w:t>
      </w:r>
    </w:p>
    <w:p w:rsidR="008B3A24" w:rsidRDefault="008B3A24" w:rsidP="008B3A24">
      <w:pPr>
        <w:pStyle w:val="isselectedend"/>
      </w:pPr>
      <w:r>
        <w:t>• General industrial media</w:t>
      </w:r>
    </w:p>
    <w:p w:rsidR="008B3A24" w:rsidRDefault="008B3A24" w:rsidP="008B3A24">
      <w:pPr>
        <w:pStyle w:val="isselectedend"/>
      </w:pPr>
      <w:r>
        <w:rPr>
          <w:rStyle w:val="Strong"/>
          <w:rFonts w:eastAsiaTheme="majorEastAsia"/>
        </w:rPr>
        <w:t>Not recommended for:</w:t>
      </w:r>
      <w:r>
        <w:t xml:space="preserve"> Strong oxidizers, molten alkali metals, and fluorine compounds.</w:t>
      </w:r>
    </w:p>
    <w:p w:rsidR="008B3A24" w:rsidRDefault="00B25A92" w:rsidP="008B3A24">
      <w:r>
        <w:lastRenderedPageBreak/>
        <w:pict>
          <v:rect id="_x0000_i1029" style="width:0;height:1.5pt" o:hralign="center" o:hrstd="t" o:hr="t" fillcolor="#a0a0a0" stroked="f"/>
        </w:pict>
      </w:r>
    </w:p>
    <w:p w:rsidR="008B3A24" w:rsidRDefault="008B3A24" w:rsidP="008B3A24">
      <w:pPr>
        <w:pStyle w:val="Heading2"/>
      </w:pPr>
      <w:r>
        <w:t>6. TYPICAL APPLICATIONS</w:t>
      </w:r>
    </w:p>
    <w:p w:rsidR="008B3A24" w:rsidRDefault="008B3A24" w:rsidP="008B3A24">
      <w:pPr>
        <w:pStyle w:val="isselectedend"/>
      </w:pPr>
      <w:r>
        <w:t>• Centrifugal pumps</w:t>
      </w:r>
    </w:p>
    <w:p w:rsidR="008B3A24" w:rsidRDefault="008B3A24" w:rsidP="008B3A24">
      <w:pPr>
        <w:pStyle w:val="isselectedend"/>
      </w:pPr>
      <w:r>
        <w:t>• Process pumps</w:t>
      </w:r>
    </w:p>
    <w:p w:rsidR="008B3A24" w:rsidRDefault="008B3A24" w:rsidP="008B3A24">
      <w:pPr>
        <w:pStyle w:val="isselectedend"/>
      </w:pPr>
      <w:r>
        <w:t>• Valves</w:t>
      </w:r>
    </w:p>
    <w:p w:rsidR="008B3A24" w:rsidRDefault="008B3A24" w:rsidP="008B3A24">
      <w:pPr>
        <w:pStyle w:val="isselectedend"/>
      </w:pPr>
      <w:r>
        <w:t>• Agitators</w:t>
      </w:r>
    </w:p>
    <w:p w:rsidR="008B3A24" w:rsidRDefault="008B3A24" w:rsidP="008B3A24">
      <w:pPr>
        <w:pStyle w:val="isselectedend"/>
      </w:pPr>
      <w:r>
        <w:t>• Mixers</w:t>
      </w:r>
    </w:p>
    <w:p w:rsidR="008B3A24" w:rsidRDefault="008B3A24" w:rsidP="008B3A24">
      <w:pPr>
        <w:pStyle w:val="isselectedend"/>
      </w:pPr>
      <w:r>
        <w:t>• Reactors</w:t>
      </w:r>
    </w:p>
    <w:p w:rsidR="008B3A24" w:rsidRDefault="008B3A24" w:rsidP="008B3A24">
      <w:pPr>
        <w:pStyle w:val="isselectedend"/>
      </w:pPr>
      <w:r>
        <w:t>• Rotary equipment</w:t>
      </w:r>
    </w:p>
    <w:p w:rsidR="008B3A24" w:rsidRDefault="008B3A24" w:rsidP="008B3A24">
      <w:pPr>
        <w:pStyle w:val="isselectedend"/>
      </w:pPr>
      <w:r>
        <w:t>• Chemical processing equipment</w:t>
      </w:r>
    </w:p>
    <w:p w:rsidR="008B3A24" w:rsidRDefault="008B3A24" w:rsidP="008B3A24">
      <w:pPr>
        <w:pStyle w:val="isselectedend"/>
      </w:pPr>
      <w:r>
        <w:t>• Petrochemical installations</w:t>
      </w:r>
    </w:p>
    <w:p w:rsidR="008B3A24" w:rsidRDefault="008B3A24" w:rsidP="008B3A24">
      <w:pPr>
        <w:pStyle w:val="isselectedend"/>
      </w:pPr>
      <w:r>
        <w:t>• General industrial services</w:t>
      </w:r>
    </w:p>
    <w:p w:rsidR="008B3A24" w:rsidRDefault="00B25A92" w:rsidP="008B3A24">
      <w:r>
        <w:pict>
          <v:rect id="_x0000_i1030" style="width:0;height:1.5pt" o:hralign="center" o:hrstd="t" o:hr="t" fillcolor="#a0a0a0" stroked="f"/>
        </w:pict>
      </w:r>
    </w:p>
    <w:p w:rsidR="008B3A24" w:rsidRDefault="008B3A24" w:rsidP="008B3A24">
      <w:pPr>
        <w:pStyle w:val="Heading2"/>
      </w:pPr>
      <w:r>
        <w:t>7. PERFORMANCE BENEFITS</w:t>
      </w:r>
    </w:p>
    <w:p w:rsidR="008B3A24" w:rsidRDefault="008B3A24" w:rsidP="008B3A24">
      <w:pPr>
        <w:pStyle w:val="isselectedend"/>
      </w:pPr>
      <w:r>
        <w:t>● Premium PTFE-graphite construction provides exceptional sealing reliability.</w:t>
      </w:r>
    </w:p>
    <w:p w:rsidR="008B3A24" w:rsidRDefault="008B3A24" w:rsidP="008B3A24">
      <w:pPr>
        <w:pStyle w:val="isselectedend"/>
      </w:pPr>
      <w:r>
        <w:t>● Excellent heat dissipation extends packing and equipment life.</w:t>
      </w:r>
    </w:p>
    <w:p w:rsidR="008B3A24" w:rsidRDefault="008B3A24" w:rsidP="008B3A24">
      <w:pPr>
        <w:pStyle w:val="isselectedend"/>
      </w:pPr>
      <w:r>
        <w:t>● Anti-friction properties minimize shaft and sleeve wear.</w:t>
      </w:r>
    </w:p>
    <w:p w:rsidR="008B3A24" w:rsidRDefault="008B3A24" w:rsidP="008B3A24">
      <w:pPr>
        <w:pStyle w:val="isselectedend"/>
      </w:pPr>
      <w:r>
        <w:t>● High resilience ensures long-term dimensional stability.</w:t>
      </w:r>
    </w:p>
    <w:p w:rsidR="008B3A24" w:rsidRDefault="008B3A24" w:rsidP="008B3A24">
      <w:pPr>
        <w:pStyle w:val="isselectedend"/>
      </w:pPr>
      <w:r>
        <w:t>● Low leakage performance reduces product loss and maintenance costs.</w:t>
      </w:r>
    </w:p>
    <w:p w:rsidR="008B3A24" w:rsidRDefault="008B3A24" w:rsidP="008B3A24">
      <w:pPr>
        <w:pStyle w:val="isselectedend"/>
      </w:pPr>
      <w:r>
        <w:t>● Excellent corrosion and abrasion resistance.</w:t>
      </w:r>
    </w:p>
    <w:p w:rsidR="008B3A24" w:rsidRDefault="008B3A24" w:rsidP="008B3A24">
      <w:pPr>
        <w:pStyle w:val="isselectedend"/>
      </w:pPr>
      <w:r>
        <w:t>● Performs reliably under high-speed operating conditions.</w:t>
      </w:r>
    </w:p>
    <w:p w:rsidR="008B3A24" w:rsidRDefault="008B3A24" w:rsidP="008B3A24">
      <w:pPr>
        <w:pStyle w:val="isselectedend"/>
      </w:pPr>
      <w:r>
        <w:t>● Requires minimal gland adjustment during service.</w:t>
      </w:r>
    </w:p>
    <w:p w:rsidR="008B3A24" w:rsidRDefault="008B3A24" w:rsidP="008B3A24">
      <w:pPr>
        <w:pStyle w:val="isselectedend"/>
      </w:pPr>
      <w:r>
        <w:t>● Suitable for a broad range of industrial applications.</w:t>
      </w:r>
    </w:p>
    <w:p w:rsidR="008B3A24" w:rsidRDefault="008B3A24" w:rsidP="008B3A24">
      <w:pPr>
        <w:pStyle w:val="isselectedend"/>
      </w:pPr>
      <w:r>
        <w:t>● Delivers long service life with reduced maintenance requirements.</w:t>
      </w:r>
    </w:p>
    <w:p w:rsidR="008B3A24" w:rsidRDefault="00B25A92" w:rsidP="008B3A24">
      <w:r>
        <w:pict>
          <v:rect id="_x0000_i1031" style="width:0;height:1.5pt" o:hralign="center" o:hrstd="t" o:hr="t" fillcolor="#a0a0a0" stroked="f"/>
        </w:pict>
      </w:r>
    </w:p>
    <w:p w:rsidR="008B3A24" w:rsidRDefault="008B3A24" w:rsidP="008B3A24">
      <w:pPr>
        <w:pStyle w:val="Heading2"/>
      </w:pPr>
      <w:r>
        <w:t>COMPLIANCE</w:t>
      </w:r>
    </w:p>
    <w:p w:rsidR="008B3A24" w:rsidRDefault="008B3A24" w:rsidP="008B3A24">
      <w:pPr>
        <w:pStyle w:val="isselectedend"/>
      </w:pPr>
      <w:r>
        <w:rPr>
          <w:rStyle w:val="Strong"/>
          <w:rFonts w:eastAsiaTheme="majorEastAsia"/>
        </w:rPr>
        <w:t>Test Standard:</w:t>
      </w:r>
      <w:r>
        <w:t xml:space="preserve"> EN 16752</w:t>
      </w:r>
    </w:p>
    <w:p w:rsidR="008B3A24" w:rsidRDefault="008B3A24" w:rsidP="008B3A24">
      <w:pPr>
        <w:pStyle w:val="isselectedend"/>
      </w:pPr>
      <w:r>
        <w:rPr>
          <w:rStyle w:val="Strong"/>
          <w:rFonts w:eastAsiaTheme="majorEastAsia"/>
        </w:rPr>
        <w:t>Application:</w:t>
      </w:r>
      <w:r>
        <w:t xml:space="preserve"> Centrifugal Pumps Test Procedure for Seal Packing</w:t>
      </w:r>
    </w:p>
    <w:p w:rsidR="008B3A24" w:rsidRDefault="008B3A24" w:rsidP="008B3A24">
      <w:pPr>
        <w:pStyle w:val="NormalWeb"/>
      </w:pPr>
      <w:r>
        <w:rPr>
          <w:rStyle w:val="Strong"/>
          <w:rFonts w:eastAsiaTheme="majorEastAsia"/>
        </w:rPr>
        <w:lastRenderedPageBreak/>
        <w:t>Tightness Class:</w:t>
      </w:r>
      <w:r>
        <w:t xml:space="preserve"> T1</w:t>
      </w:r>
    </w:p>
    <w:p w:rsidR="008A39B5" w:rsidRDefault="008A39B5" w:rsidP="008B3A24">
      <w:pPr>
        <w:pStyle w:val="Heading2"/>
        <w:ind w:left="-426"/>
      </w:pPr>
      <w:r>
        <w:t>DISCLAIMER</w:t>
      </w:r>
    </w:p>
    <w:p w:rsidR="008A39B5" w:rsidRDefault="008A39B5" w:rsidP="002E51E6">
      <w:pPr>
        <w:pStyle w:val="NormalWeb"/>
        <w:ind w:left="-426"/>
      </w:pPr>
      <w: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p w:rsidR="00231C21" w:rsidRPr="008A39B5" w:rsidRDefault="00231C21" w:rsidP="002E51E6">
      <w:pPr>
        <w:ind w:left="-426"/>
      </w:pPr>
    </w:p>
    <w:sectPr w:rsidR="00231C21" w:rsidRPr="008A39B5"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67135"/>
    <w:rsid w:val="00091C69"/>
    <w:rsid w:val="001E6E16"/>
    <w:rsid w:val="0022087A"/>
    <w:rsid w:val="00231C21"/>
    <w:rsid w:val="002E51E6"/>
    <w:rsid w:val="00327DE4"/>
    <w:rsid w:val="00364B90"/>
    <w:rsid w:val="003E6EAE"/>
    <w:rsid w:val="00437234"/>
    <w:rsid w:val="00496968"/>
    <w:rsid w:val="004A37C2"/>
    <w:rsid w:val="004E2A45"/>
    <w:rsid w:val="00556950"/>
    <w:rsid w:val="00575BBE"/>
    <w:rsid w:val="005764B6"/>
    <w:rsid w:val="00663368"/>
    <w:rsid w:val="006B402F"/>
    <w:rsid w:val="006C1B21"/>
    <w:rsid w:val="006D5514"/>
    <w:rsid w:val="008377F6"/>
    <w:rsid w:val="008A39B5"/>
    <w:rsid w:val="008B3A24"/>
    <w:rsid w:val="00975039"/>
    <w:rsid w:val="00A16D7A"/>
    <w:rsid w:val="00B25A92"/>
    <w:rsid w:val="00B2707D"/>
    <w:rsid w:val="00B5205F"/>
    <w:rsid w:val="00C2377F"/>
    <w:rsid w:val="00C626F8"/>
    <w:rsid w:val="00C9235A"/>
    <w:rsid w:val="00CB30BD"/>
    <w:rsid w:val="00D40AD5"/>
    <w:rsid w:val="00D840D2"/>
    <w:rsid w:val="00DA5803"/>
    <w:rsid w:val="00DB7ED0"/>
    <w:rsid w:val="00E24044"/>
    <w:rsid w:val="00E4436D"/>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3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535313639">
      <w:bodyDiv w:val="1"/>
      <w:marLeft w:val="0"/>
      <w:marRight w:val="0"/>
      <w:marTop w:val="0"/>
      <w:marBottom w:val="0"/>
      <w:divBdr>
        <w:top w:val="none" w:sz="0" w:space="0" w:color="auto"/>
        <w:left w:val="none" w:sz="0" w:space="0" w:color="auto"/>
        <w:bottom w:val="none" w:sz="0" w:space="0" w:color="auto"/>
        <w:right w:val="none" w:sz="0" w:space="0" w:color="auto"/>
      </w:divBdr>
      <w:divsChild>
        <w:div w:id="1529220039">
          <w:marLeft w:val="0"/>
          <w:marRight w:val="0"/>
          <w:marTop w:val="0"/>
          <w:marBottom w:val="0"/>
          <w:divBdr>
            <w:top w:val="none" w:sz="0" w:space="0" w:color="auto"/>
            <w:left w:val="none" w:sz="0" w:space="0" w:color="auto"/>
            <w:bottom w:val="none" w:sz="0" w:space="0" w:color="auto"/>
            <w:right w:val="none" w:sz="0" w:space="0" w:color="auto"/>
          </w:divBdr>
          <w:divsChild>
            <w:div w:id="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1039">
      <w:bodyDiv w:val="1"/>
      <w:marLeft w:val="0"/>
      <w:marRight w:val="0"/>
      <w:marTop w:val="0"/>
      <w:marBottom w:val="0"/>
      <w:divBdr>
        <w:top w:val="none" w:sz="0" w:space="0" w:color="auto"/>
        <w:left w:val="none" w:sz="0" w:space="0" w:color="auto"/>
        <w:bottom w:val="none" w:sz="0" w:space="0" w:color="auto"/>
        <w:right w:val="none" w:sz="0" w:space="0" w:color="auto"/>
      </w:divBdr>
      <w:divsChild>
        <w:div w:id="765805548">
          <w:marLeft w:val="0"/>
          <w:marRight w:val="0"/>
          <w:marTop w:val="0"/>
          <w:marBottom w:val="0"/>
          <w:divBdr>
            <w:top w:val="none" w:sz="0" w:space="0" w:color="auto"/>
            <w:left w:val="none" w:sz="0" w:space="0" w:color="auto"/>
            <w:bottom w:val="none" w:sz="0" w:space="0" w:color="auto"/>
            <w:right w:val="none" w:sz="0" w:space="0" w:color="auto"/>
          </w:divBdr>
          <w:divsChild>
            <w:div w:id="1577125132">
              <w:marLeft w:val="0"/>
              <w:marRight w:val="0"/>
              <w:marTop w:val="0"/>
              <w:marBottom w:val="0"/>
              <w:divBdr>
                <w:top w:val="none" w:sz="0" w:space="0" w:color="auto"/>
                <w:left w:val="none" w:sz="0" w:space="0" w:color="auto"/>
                <w:bottom w:val="none" w:sz="0" w:space="0" w:color="auto"/>
                <w:right w:val="none" w:sz="0" w:space="0" w:color="auto"/>
              </w:divBdr>
            </w:div>
          </w:divsChild>
        </w:div>
        <w:div w:id="1376199181">
          <w:marLeft w:val="0"/>
          <w:marRight w:val="0"/>
          <w:marTop w:val="0"/>
          <w:marBottom w:val="0"/>
          <w:divBdr>
            <w:top w:val="none" w:sz="0" w:space="0" w:color="auto"/>
            <w:left w:val="none" w:sz="0" w:space="0" w:color="auto"/>
            <w:bottom w:val="none" w:sz="0" w:space="0" w:color="auto"/>
            <w:right w:val="none" w:sz="0" w:space="0" w:color="auto"/>
          </w:divBdr>
          <w:divsChild>
            <w:div w:id="1627849904">
              <w:marLeft w:val="0"/>
              <w:marRight w:val="0"/>
              <w:marTop w:val="0"/>
              <w:marBottom w:val="0"/>
              <w:divBdr>
                <w:top w:val="none" w:sz="0" w:space="0" w:color="auto"/>
                <w:left w:val="none" w:sz="0" w:space="0" w:color="auto"/>
                <w:bottom w:val="none" w:sz="0" w:space="0" w:color="auto"/>
                <w:right w:val="none" w:sz="0" w:space="0" w:color="auto"/>
              </w:divBdr>
            </w:div>
          </w:divsChild>
        </w:div>
        <w:div w:id="229577831">
          <w:marLeft w:val="0"/>
          <w:marRight w:val="0"/>
          <w:marTop w:val="0"/>
          <w:marBottom w:val="0"/>
          <w:divBdr>
            <w:top w:val="none" w:sz="0" w:space="0" w:color="auto"/>
            <w:left w:val="none" w:sz="0" w:space="0" w:color="auto"/>
            <w:bottom w:val="none" w:sz="0" w:space="0" w:color="auto"/>
            <w:right w:val="none" w:sz="0" w:space="0" w:color="auto"/>
          </w:divBdr>
          <w:divsChild>
            <w:div w:id="6187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11000">
      <w:bodyDiv w:val="1"/>
      <w:marLeft w:val="0"/>
      <w:marRight w:val="0"/>
      <w:marTop w:val="0"/>
      <w:marBottom w:val="0"/>
      <w:divBdr>
        <w:top w:val="none" w:sz="0" w:space="0" w:color="auto"/>
        <w:left w:val="none" w:sz="0" w:space="0" w:color="auto"/>
        <w:bottom w:val="none" w:sz="0" w:space="0" w:color="auto"/>
        <w:right w:val="none" w:sz="0" w:space="0" w:color="auto"/>
      </w:divBdr>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313">
      <w:bodyDiv w:val="1"/>
      <w:marLeft w:val="0"/>
      <w:marRight w:val="0"/>
      <w:marTop w:val="0"/>
      <w:marBottom w:val="0"/>
      <w:divBdr>
        <w:top w:val="none" w:sz="0" w:space="0" w:color="auto"/>
        <w:left w:val="none" w:sz="0" w:space="0" w:color="auto"/>
        <w:bottom w:val="none" w:sz="0" w:space="0" w:color="auto"/>
        <w:right w:val="none" w:sz="0" w:space="0" w:color="auto"/>
      </w:divBdr>
    </w:div>
    <w:div w:id="1060399572">
      <w:bodyDiv w:val="1"/>
      <w:marLeft w:val="0"/>
      <w:marRight w:val="0"/>
      <w:marTop w:val="0"/>
      <w:marBottom w:val="0"/>
      <w:divBdr>
        <w:top w:val="none" w:sz="0" w:space="0" w:color="auto"/>
        <w:left w:val="none" w:sz="0" w:space="0" w:color="auto"/>
        <w:bottom w:val="none" w:sz="0" w:space="0" w:color="auto"/>
        <w:right w:val="none" w:sz="0" w:space="0" w:color="auto"/>
      </w:divBdr>
      <w:divsChild>
        <w:div w:id="542521324">
          <w:marLeft w:val="0"/>
          <w:marRight w:val="0"/>
          <w:marTop w:val="0"/>
          <w:marBottom w:val="0"/>
          <w:divBdr>
            <w:top w:val="none" w:sz="0" w:space="0" w:color="auto"/>
            <w:left w:val="none" w:sz="0" w:space="0" w:color="auto"/>
            <w:bottom w:val="none" w:sz="0" w:space="0" w:color="auto"/>
            <w:right w:val="none" w:sz="0" w:space="0" w:color="auto"/>
          </w:divBdr>
          <w:divsChild>
            <w:div w:id="424960024">
              <w:marLeft w:val="0"/>
              <w:marRight w:val="0"/>
              <w:marTop w:val="0"/>
              <w:marBottom w:val="0"/>
              <w:divBdr>
                <w:top w:val="none" w:sz="0" w:space="0" w:color="auto"/>
                <w:left w:val="none" w:sz="0" w:space="0" w:color="auto"/>
                <w:bottom w:val="none" w:sz="0" w:space="0" w:color="auto"/>
                <w:right w:val="none" w:sz="0" w:space="0" w:color="auto"/>
              </w:divBdr>
            </w:div>
          </w:divsChild>
        </w:div>
        <w:div w:id="1123384720">
          <w:marLeft w:val="0"/>
          <w:marRight w:val="0"/>
          <w:marTop w:val="0"/>
          <w:marBottom w:val="0"/>
          <w:divBdr>
            <w:top w:val="none" w:sz="0" w:space="0" w:color="auto"/>
            <w:left w:val="none" w:sz="0" w:space="0" w:color="auto"/>
            <w:bottom w:val="none" w:sz="0" w:space="0" w:color="auto"/>
            <w:right w:val="none" w:sz="0" w:space="0" w:color="auto"/>
          </w:divBdr>
          <w:divsChild>
            <w:div w:id="427822206">
              <w:marLeft w:val="0"/>
              <w:marRight w:val="0"/>
              <w:marTop w:val="0"/>
              <w:marBottom w:val="0"/>
              <w:divBdr>
                <w:top w:val="none" w:sz="0" w:space="0" w:color="auto"/>
                <w:left w:val="none" w:sz="0" w:space="0" w:color="auto"/>
                <w:bottom w:val="none" w:sz="0" w:space="0" w:color="auto"/>
                <w:right w:val="none" w:sz="0" w:space="0" w:color="auto"/>
              </w:divBdr>
            </w:div>
          </w:divsChild>
        </w:div>
        <w:div w:id="1431117896">
          <w:marLeft w:val="0"/>
          <w:marRight w:val="0"/>
          <w:marTop w:val="0"/>
          <w:marBottom w:val="0"/>
          <w:divBdr>
            <w:top w:val="none" w:sz="0" w:space="0" w:color="auto"/>
            <w:left w:val="none" w:sz="0" w:space="0" w:color="auto"/>
            <w:bottom w:val="none" w:sz="0" w:space="0" w:color="auto"/>
            <w:right w:val="none" w:sz="0" w:space="0" w:color="auto"/>
          </w:divBdr>
          <w:divsChild>
            <w:div w:id="157181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22704">
      <w:bodyDiv w:val="1"/>
      <w:marLeft w:val="0"/>
      <w:marRight w:val="0"/>
      <w:marTop w:val="0"/>
      <w:marBottom w:val="0"/>
      <w:divBdr>
        <w:top w:val="none" w:sz="0" w:space="0" w:color="auto"/>
        <w:left w:val="none" w:sz="0" w:space="0" w:color="auto"/>
        <w:bottom w:val="none" w:sz="0" w:space="0" w:color="auto"/>
        <w:right w:val="none" w:sz="0" w:space="0" w:color="auto"/>
      </w:divBdr>
      <w:divsChild>
        <w:div w:id="733553081">
          <w:marLeft w:val="0"/>
          <w:marRight w:val="0"/>
          <w:marTop w:val="0"/>
          <w:marBottom w:val="0"/>
          <w:divBdr>
            <w:top w:val="none" w:sz="0" w:space="0" w:color="auto"/>
            <w:left w:val="none" w:sz="0" w:space="0" w:color="auto"/>
            <w:bottom w:val="none" w:sz="0" w:space="0" w:color="auto"/>
            <w:right w:val="none" w:sz="0" w:space="0" w:color="auto"/>
          </w:divBdr>
        </w:div>
        <w:div w:id="923807429">
          <w:marLeft w:val="0"/>
          <w:marRight w:val="0"/>
          <w:marTop w:val="0"/>
          <w:marBottom w:val="0"/>
          <w:divBdr>
            <w:top w:val="none" w:sz="0" w:space="0" w:color="auto"/>
            <w:left w:val="none" w:sz="0" w:space="0" w:color="auto"/>
            <w:bottom w:val="none" w:sz="0" w:space="0" w:color="auto"/>
            <w:right w:val="none" w:sz="0" w:space="0" w:color="auto"/>
          </w:divBdr>
        </w:div>
        <w:div w:id="1274360935">
          <w:marLeft w:val="0"/>
          <w:marRight w:val="0"/>
          <w:marTop w:val="0"/>
          <w:marBottom w:val="0"/>
          <w:divBdr>
            <w:top w:val="none" w:sz="0" w:space="0" w:color="auto"/>
            <w:left w:val="none" w:sz="0" w:space="0" w:color="auto"/>
            <w:bottom w:val="none" w:sz="0" w:space="0" w:color="auto"/>
            <w:right w:val="none" w:sz="0" w:space="0" w:color="auto"/>
          </w:divBdr>
        </w:div>
        <w:div w:id="1026560050">
          <w:marLeft w:val="0"/>
          <w:marRight w:val="0"/>
          <w:marTop w:val="0"/>
          <w:marBottom w:val="0"/>
          <w:divBdr>
            <w:top w:val="none" w:sz="0" w:space="0" w:color="auto"/>
            <w:left w:val="none" w:sz="0" w:space="0" w:color="auto"/>
            <w:bottom w:val="none" w:sz="0" w:space="0" w:color="auto"/>
            <w:right w:val="none" w:sz="0" w:space="0" w:color="auto"/>
          </w:divBdr>
        </w:div>
        <w:div w:id="1736126620">
          <w:marLeft w:val="0"/>
          <w:marRight w:val="0"/>
          <w:marTop w:val="0"/>
          <w:marBottom w:val="0"/>
          <w:divBdr>
            <w:top w:val="none" w:sz="0" w:space="0" w:color="auto"/>
            <w:left w:val="none" w:sz="0" w:space="0" w:color="auto"/>
            <w:bottom w:val="none" w:sz="0" w:space="0" w:color="auto"/>
            <w:right w:val="none" w:sz="0" w:space="0" w:color="auto"/>
          </w:divBdr>
        </w:div>
        <w:div w:id="1412116968">
          <w:marLeft w:val="0"/>
          <w:marRight w:val="0"/>
          <w:marTop w:val="0"/>
          <w:marBottom w:val="0"/>
          <w:divBdr>
            <w:top w:val="none" w:sz="0" w:space="0" w:color="auto"/>
            <w:left w:val="none" w:sz="0" w:space="0" w:color="auto"/>
            <w:bottom w:val="none" w:sz="0" w:space="0" w:color="auto"/>
            <w:right w:val="none" w:sz="0" w:space="0" w:color="auto"/>
          </w:divBdr>
        </w:div>
        <w:div w:id="579287823">
          <w:marLeft w:val="0"/>
          <w:marRight w:val="0"/>
          <w:marTop w:val="0"/>
          <w:marBottom w:val="0"/>
          <w:divBdr>
            <w:top w:val="none" w:sz="0" w:space="0" w:color="auto"/>
            <w:left w:val="none" w:sz="0" w:space="0" w:color="auto"/>
            <w:bottom w:val="none" w:sz="0" w:space="0" w:color="auto"/>
            <w:right w:val="none" w:sz="0" w:space="0" w:color="auto"/>
          </w:divBdr>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1804">
      <w:bodyDiv w:val="1"/>
      <w:marLeft w:val="0"/>
      <w:marRight w:val="0"/>
      <w:marTop w:val="0"/>
      <w:marBottom w:val="0"/>
      <w:divBdr>
        <w:top w:val="none" w:sz="0" w:space="0" w:color="auto"/>
        <w:left w:val="none" w:sz="0" w:space="0" w:color="auto"/>
        <w:bottom w:val="none" w:sz="0" w:space="0" w:color="auto"/>
        <w:right w:val="none" w:sz="0" w:space="0" w:color="auto"/>
      </w:divBdr>
      <w:divsChild>
        <w:div w:id="641234990">
          <w:marLeft w:val="0"/>
          <w:marRight w:val="0"/>
          <w:marTop w:val="0"/>
          <w:marBottom w:val="0"/>
          <w:divBdr>
            <w:top w:val="none" w:sz="0" w:space="0" w:color="auto"/>
            <w:left w:val="none" w:sz="0" w:space="0" w:color="auto"/>
            <w:bottom w:val="none" w:sz="0" w:space="0" w:color="auto"/>
            <w:right w:val="none" w:sz="0" w:space="0" w:color="auto"/>
          </w:divBdr>
        </w:div>
        <w:div w:id="629944023">
          <w:marLeft w:val="0"/>
          <w:marRight w:val="0"/>
          <w:marTop w:val="0"/>
          <w:marBottom w:val="0"/>
          <w:divBdr>
            <w:top w:val="none" w:sz="0" w:space="0" w:color="auto"/>
            <w:left w:val="none" w:sz="0" w:space="0" w:color="auto"/>
            <w:bottom w:val="none" w:sz="0" w:space="0" w:color="auto"/>
            <w:right w:val="none" w:sz="0" w:space="0" w:color="auto"/>
          </w:divBdr>
        </w:div>
        <w:div w:id="11536684">
          <w:marLeft w:val="0"/>
          <w:marRight w:val="0"/>
          <w:marTop w:val="0"/>
          <w:marBottom w:val="0"/>
          <w:divBdr>
            <w:top w:val="none" w:sz="0" w:space="0" w:color="auto"/>
            <w:left w:val="none" w:sz="0" w:space="0" w:color="auto"/>
            <w:bottom w:val="none" w:sz="0" w:space="0" w:color="auto"/>
            <w:right w:val="none" w:sz="0" w:space="0" w:color="auto"/>
          </w:divBdr>
        </w:div>
        <w:div w:id="182405771">
          <w:marLeft w:val="0"/>
          <w:marRight w:val="0"/>
          <w:marTop w:val="0"/>
          <w:marBottom w:val="0"/>
          <w:divBdr>
            <w:top w:val="none" w:sz="0" w:space="0" w:color="auto"/>
            <w:left w:val="none" w:sz="0" w:space="0" w:color="auto"/>
            <w:bottom w:val="none" w:sz="0" w:space="0" w:color="auto"/>
            <w:right w:val="none" w:sz="0" w:space="0" w:color="auto"/>
          </w:divBdr>
        </w:div>
        <w:div w:id="1202939629">
          <w:marLeft w:val="0"/>
          <w:marRight w:val="0"/>
          <w:marTop w:val="0"/>
          <w:marBottom w:val="0"/>
          <w:divBdr>
            <w:top w:val="none" w:sz="0" w:space="0" w:color="auto"/>
            <w:left w:val="none" w:sz="0" w:space="0" w:color="auto"/>
            <w:bottom w:val="none" w:sz="0" w:space="0" w:color="auto"/>
            <w:right w:val="none" w:sz="0" w:space="0" w:color="auto"/>
          </w:divBdr>
        </w:div>
        <w:div w:id="699090690">
          <w:marLeft w:val="0"/>
          <w:marRight w:val="0"/>
          <w:marTop w:val="0"/>
          <w:marBottom w:val="0"/>
          <w:divBdr>
            <w:top w:val="none" w:sz="0" w:space="0" w:color="auto"/>
            <w:left w:val="none" w:sz="0" w:space="0" w:color="auto"/>
            <w:bottom w:val="none" w:sz="0" w:space="0" w:color="auto"/>
            <w:right w:val="none" w:sz="0" w:space="0" w:color="auto"/>
          </w:divBdr>
        </w:div>
        <w:div w:id="596057726">
          <w:marLeft w:val="0"/>
          <w:marRight w:val="0"/>
          <w:marTop w:val="0"/>
          <w:marBottom w:val="0"/>
          <w:divBdr>
            <w:top w:val="none" w:sz="0" w:space="0" w:color="auto"/>
            <w:left w:val="none" w:sz="0" w:space="0" w:color="auto"/>
            <w:bottom w:val="none" w:sz="0" w:space="0" w:color="auto"/>
            <w:right w:val="none" w:sz="0" w:space="0" w:color="auto"/>
          </w:divBdr>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6365">
      <w:bodyDiv w:val="1"/>
      <w:marLeft w:val="0"/>
      <w:marRight w:val="0"/>
      <w:marTop w:val="0"/>
      <w:marBottom w:val="0"/>
      <w:divBdr>
        <w:top w:val="none" w:sz="0" w:space="0" w:color="auto"/>
        <w:left w:val="none" w:sz="0" w:space="0" w:color="auto"/>
        <w:bottom w:val="none" w:sz="0" w:space="0" w:color="auto"/>
        <w:right w:val="none" w:sz="0" w:space="0" w:color="auto"/>
      </w:divBdr>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71866">
      <w:bodyDiv w:val="1"/>
      <w:marLeft w:val="0"/>
      <w:marRight w:val="0"/>
      <w:marTop w:val="0"/>
      <w:marBottom w:val="0"/>
      <w:divBdr>
        <w:top w:val="none" w:sz="0" w:space="0" w:color="auto"/>
        <w:left w:val="none" w:sz="0" w:space="0" w:color="auto"/>
        <w:bottom w:val="none" w:sz="0" w:space="0" w:color="auto"/>
        <w:right w:val="none" w:sz="0" w:space="0" w:color="auto"/>
      </w:divBdr>
      <w:divsChild>
        <w:div w:id="716125987">
          <w:marLeft w:val="0"/>
          <w:marRight w:val="0"/>
          <w:marTop w:val="0"/>
          <w:marBottom w:val="0"/>
          <w:divBdr>
            <w:top w:val="none" w:sz="0" w:space="0" w:color="auto"/>
            <w:left w:val="none" w:sz="0" w:space="0" w:color="auto"/>
            <w:bottom w:val="none" w:sz="0" w:space="0" w:color="auto"/>
            <w:right w:val="none" w:sz="0" w:space="0" w:color="auto"/>
          </w:divBdr>
        </w:div>
        <w:div w:id="1434862917">
          <w:marLeft w:val="0"/>
          <w:marRight w:val="0"/>
          <w:marTop w:val="0"/>
          <w:marBottom w:val="0"/>
          <w:divBdr>
            <w:top w:val="none" w:sz="0" w:space="0" w:color="auto"/>
            <w:left w:val="none" w:sz="0" w:space="0" w:color="auto"/>
            <w:bottom w:val="none" w:sz="0" w:space="0" w:color="auto"/>
            <w:right w:val="none" w:sz="0" w:space="0" w:color="auto"/>
          </w:divBdr>
        </w:div>
        <w:div w:id="175776637">
          <w:marLeft w:val="0"/>
          <w:marRight w:val="0"/>
          <w:marTop w:val="0"/>
          <w:marBottom w:val="0"/>
          <w:divBdr>
            <w:top w:val="none" w:sz="0" w:space="0" w:color="auto"/>
            <w:left w:val="none" w:sz="0" w:space="0" w:color="auto"/>
            <w:bottom w:val="none" w:sz="0" w:space="0" w:color="auto"/>
            <w:right w:val="none" w:sz="0" w:space="0" w:color="auto"/>
          </w:divBdr>
        </w:div>
        <w:div w:id="659115334">
          <w:marLeft w:val="0"/>
          <w:marRight w:val="0"/>
          <w:marTop w:val="0"/>
          <w:marBottom w:val="0"/>
          <w:divBdr>
            <w:top w:val="none" w:sz="0" w:space="0" w:color="auto"/>
            <w:left w:val="none" w:sz="0" w:space="0" w:color="auto"/>
            <w:bottom w:val="none" w:sz="0" w:space="0" w:color="auto"/>
            <w:right w:val="none" w:sz="0" w:space="0" w:color="auto"/>
          </w:divBdr>
        </w:div>
        <w:div w:id="258872324">
          <w:marLeft w:val="0"/>
          <w:marRight w:val="0"/>
          <w:marTop w:val="0"/>
          <w:marBottom w:val="0"/>
          <w:divBdr>
            <w:top w:val="none" w:sz="0" w:space="0" w:color="auto"/>
            <w:left w:val="none" w:sz="0" w:space="0" w:color="auto"/>
            <w:bottom w:val="none" w:sz="0" w:space="0" w:color="auto"/>
            <w:right w:val="none" w:sz="0" w:space="0" w:color="auto"/>
          </w:divBdr>
        </w:div>
        <w:div w:id="954141679">
          <w:marLeft w:val="0"/>
          <w:marRight w:val="0"/>
          <w:marTop w:val="0"/>
          <w:marBottom w:val="0"/>
          <w:divBdr>
            <w:top w:val="none" w:sz="0" w:space="0" w:color="auto"/>
            <w:left w:val="none" w:sz="0" w:space="0" w:color="auto"/>
            <w:bottom w:val="none" w:sz="0" w:space="0" w:color="auto"/>
            <w:right w:val="none" w:sz="0" w:space="0" w:color="auto"/>
          </w:divBdr>
        </w:div>
        <w:div w:id="936134445">
          <w:marLeft w:val="0"/>
          <w:marRight w:val="0"/>
          <w:marTop w:val="0"/>
          <w:marBottom w:val="0"/>
          <w:divBdr>
            <w:top w:val="none" w:sz="0" w:space="0" w:color="auto"/>
            <w:left w:val="none" w:sz="0" w:space="0" w:color="auto"/>
            <w:bottom w:val="none" w:sz="0" w:space="0" w:color="auto"/>
            <w:right w:val="none" w:sz="0" w:space="0" w:color="auto"/>
          </w:divBdr>
        </w:div>
        <w:div w:id="1716464873">
          <w:marLeft w:val="0"/>
          <w:marRight w:val="0"/>
          <w:marTop w:val="0"/>
          <w:marBottom w:val="0"/>
          <w:divBdr>
            <w:top w:val="none" w:sz="0" w:space="0" w:color="auto"/>
            <w:left w:val="none" w:sz="0" w:space="0" w:color="auto"/>
            <w:bottom w:val="none" w:sz="0" w:space="0" w:color="auto"/>
            <w:right w:val="none" w:sz="0" w:space="0" w:color="auto"/>
          </w:divBdr>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6</cp:revision>
  <dcterms:created xsi:type="dcterms:W3CDTF">2026-06-02T04:34:00Z</dcterms:created>
  <dcterms:modified xsi:type="dcterms:W3CDTF">2026-06-02T11:38:00Z</dcterms:modified>
</cp:coreProperties>
</file>