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37BB" w:rsidRDefault="00E537BB" w:rsidP="00E537BB">
      <w:pPr>
        <w:pStyle w:val="Heading1"/>
      </w:pPr>
      <w:r>
        <w:t>NA 420</w:t>
      </w:r>
    </w:p>
    <w:p w:rsidR="00E537BB" w:rsidRDefault="00E537BB" w:rsidP="00E537BB">
      <w:pPr>
        <w:pStyle w:val="Heading3"/>
      </w:pPr>
      <w:r>
        <w:t xml:space="preserve">Compressed Non-Asbestos </w:t>
      </w:r>
      <w:proofErr w:type="spellStart"/>
      <w:r>
        <w:t>Fiber</w:t>
      </w:r>
      <w:proofErr w:type="spellEnd"/>
      <w:r>
        <w:t xml:space="preserve"> Jointing Sheet</w:t>
      </w:r>
    </w:p>
    <w:p w:rsidR="00E537BB" w:rsidRDefault="00E537BB" w:rsidP="00E537BB">
      <w:pPr>
        <w:pStyle w:val="NormalWeb"/>
      </w:pPr>
      <w:r>
        <w:rPr>
          <w:rStyle w:val="Strong"/>
        </w:rPr>
        <w:t>NA 420</w:t>
      </w:r>
      <w:r>
        <w:t xml:space="preserve"> is a high-quality compressed non-asbestos </w:t>
      </w:r>
      <w:proofErr w:type="spellStart"/>
      <w:r>
        <w:t>fiber</w:t>
      </w:r>
      <w:proofErr w:type="spellEnd"/>
      <w:r>
        <w:t xml:space="preserve"> (CNAF) jointing sheet manufactured from a blend of mineral </w:t>
      </w:r>
      <w:proofErr w:type="spellStart"/>
      <w:r>
        <w:t>fibers</w:t>
      </w:r>
      <w:proofErr w:type="spellEnd"/>
      <w:r>
        <w:t xml:space="preserve">, aramid </w:t>
      </w:r>
      <w:proofErr w:type="spellStart"/>
      <w:r>
        <w:t>fibers</w:t>
      </w:r>
      <w:proofErr w:type="spellEnd"/>
      <w:r>
        <w:t>, and inorganic fillers bonded with a high-performance NBR binder. It is designed to provide reliable sealing performance in medium-stress applications involving oils, fuels, steam, water, gases, hydrocarbons, and a wide range of industrial chemicals.</w:t>
      </w:r>
    </w:p>
    <w:p w:rsidR="00E537BB" w:rsidRDefault="00E537BB" w:rsidP="00E537BB">
      <w:pPr>
        <w:pStyle w:val="NormalWeb"/>
      </w:pPr>
      <w:r>
        <w:t>The material offers excellent tensile strength, recovery, gas tightness, and resistance to oils and fuels. Its balanced combination of mechanical strength and sealing capability makes it suitable for general industrial gasket applications where dependable performance and durability are required.</w:t>
      </w:r>
    </w:p>
    <w:p w:rsidR="00E537BB" w:rsidRDefault="00224718" w:rsidP="00E537BB">
      <w:r>
        <w:pict>
          <v:rect id="_x0000_i1025" style="width:0;height:1.5pt" o:hralign="center" o:hrstd="t" o:hr="t" fillcolor="#a0a0a0" stroked="f"/>
        </w:pict>
      </w:r>
    </w:p>
    <w:p w:rsidR="00E537BB" w:rsidRDefault="00E537BB" w:rsidP="00E537BB">
      <w:pPr>
        <w:pStyle w:val="Heading2"/>
      </w:pPr>
      <w:r>
        <w:t>Key Features</w:t>
      </w:r>
    </w:p>
    <w:p w:rsidR="00E537BB" w:rsidRDefault="00E537BB" w:rsidP="00E537BB">
      <w:pPr>
        <w:pStyle w:val="NormalWeb"/>
      </w:pPr>
      <w:r>
        <w:t xml:space="preserve">● Manufactured from a premium blend of mineral </w:t>
      </w:r>
      <w:proofErr w:type="spellStart"/>
      <w:r>
        <w:t>fibers</w:t>
      </w:r>
      <w:proofErr w:type="spellEnd"/>
      <w:r>
        <w:t xml:space="preserve">, aramid </w:t>
      </w:r>
      <w:proofErr w:type="spellStart"/>
      <w:r>
        <w:t>fibers</w:t>
      </w:r>
      <w:proofErr w:type="spellEnd"/>
      <w:r>
        <w:t>, and inorganic fillers with an NBR binder.</w:t>
      </w:r>
    </w:p>
    <w:p w:rsidR="00E537BB" w:rsidRDefault="00E537BB" w:rsidP="00E537BB">
      <w:pPr>
        <w:pStyle w:val="NormalWeb"/>
      </w:pPr>
      <w:r>
        <w:t>● Excellent tensile strength ensures reliable performance under mechanical loading conditions.</w:t>
      </w:r>
    </w:p>
    <w:p w:rsidR="00E537BB" w:rsidRDefault="00E537BB" w:rsidP="00E537BB">
      <w:pPr>
        <w:pStyle w:val="NormalWeb"/>
      </w:pPr>
      <w:r>
        <w:t>● High recovery characteristics maintain gasket integrity and sealing effectiveness during pressure fluctuations.</w:t>
      </w:r>
    </w:p>
    <w:p w:rsidR="00E537BB" w:rsidRDefault="00E537BB" w:rsidP="00E537BB">
      <w:pPr>
        <w:pStyle w:val="NormalWeb"/>
      </w:pPr>
      <w:r>
        <w:t>● Low stress relaxation provides long-term sealing stability and reduced maintenance requirements.</w:t>
      </w:r>
    </w:p>
    <w:p w:rsidR="00E537BB" w:rsidRDefault="00E537BB" w:rsidP="00E537BB">
      <w:pPr>
        <w:pStyle w:val="NormalWeb"/>
      </w:pPr>
      <w:r>
        <w:t xml:space="preserve">● Superior gas </w:t>
      </w:r>
      <w:proofErr w:type="spellStart"/>
      <w:r>
        <w:t>sealability</w:t>
      </w:r>
      <w:proofErr w:type="spellEnd"/>
      <w:r>
        <w:t xml:space="preserve"> minimizes leakage and enhances operational safety.</w:t>
      </w:r>
    </w:p>
    <w:p w:rsidR="00E537BB" w:rsidRDefault="00E537BB" w:rsidP="00E537BB">
      <w:pPr>
        <w:pStyle w:val="NormalWeb"/>
      </w:pPr>
      <w:r>
        <w:t>● Excellent resistance to oils, fuels, lubricants, steam, water, and hydrocarbons.</w:t>
      </w:r>
    </w:p>
    <w:p w:rsidR="00E537BB" w:rsidRDefault="00E537BB" w:rsidP="00E537BB">
      <w:pPr>
        <w:pStyle w:val="NormalWeb"/>
      </w:pPr>
      <w:r>
        <w:t>● Suitable for medium-stress sealing applications across a wide range of industrial systems.</w:t>
      </w:r>
    </w:p>
    <w:p w:rsidR="00E537BB" w:rsidRDefault="00E537BB" w:rsidP="00E537BB">
      <w:pPr>
        <w:pStyle w:val="NormalWeb"/>
      </w:pPr>
      <w:r>
        <w:t>● Available in multiple thicknesses and sheet sizes to suit various gasket manufacturing requirements.</w:t>
      </w:r>
    </w:p>
    <w:p w:rsidR="00E537BB" w:rsidRDefault="00224718" w:rsidP="00E537BB">
      <w:r>
        <w:pict>
          <v:rect id="_x0000_i1026" style="width:0;height:1.5pt" o:hralign="center" o:hrstd="t" o:hr="t" fillcolor="#a0a0a0" stroked="f"/>
        </w:pict>
      </w:r>
    </w:p>
    <w:p w:rsidR="00E537BB" w:rsidRDefault="00E537BB" w:rsidP="00E537BB">
      <w:pPr>
        <w:pStyle w:val="Heading2"/>
      </w:pPr>
      <w:r>
        <w:t>Applications</w:t>
      </w:r>
    </w:p>
    <w:p w:rsidR="00E537BB" w:rsidRDefault="00E537BB" w:rsidP="00E537BB">
      <w:pPr>
        <w:pStyle w:val="NormalWeb"/>
      </w:pPr>
      <w:r>
        <w:t>● General industrial gasket applications.</w:t>
      </w:r>
    </w:p>
    <w:p w:rsidR="00E537BB" w:rsidRDefault="00E537BB" w:rsidP="00E537BB">
      <w:pPr>
        <w:pStyle w:val="NormalWeb"/>
      </w:pPr>
      <w:r>
        <w:t>● Pumps,</w:t>
      </w:r>
      <w:r w:rsidR="00AD7C23">
        <w:t xml:space="preserve"> </w:t>
      </w:r>
      <w:r>
        <w:t>compressors, and pipe flanges.</w:t>
      </w:r>
    </w:p>
    <w:p w:rsidR="00E537BB" w:rsidRDefault="00E537BB" w:rsidP="00E537BB">
      <w:pPr>
        <w:pStyle w:val="NormalWeb"/>
      </w:pPr>
      <w:r>
        <w:t>● Oil and fuel handling systems.</w:t>
      </w:r>
    </w:p>
    <w:p w:rsidR="00E537BB" w:rsidRDefault="00E537BB" w:rsidP="00E537BB">
      <w:pPr>
        <w:pStyle w:val="NormalWeb"/>
      </w:pPr>
      <w:r>
        <w:t>● Steam and water service applications.</w:t>
      </w:r>
    </w:p>
    <w:p w:rsidR="00E537BB" w:rsidRDefault="00E537BB" w:rsidP="00E537BB">
      <w:pPr>
        <w:pStyle w:val="NormalWeb"/>
      </w:pPr>
      <w:r>
        <w:t>● Cooling water systems.</w:t>
      </w:r>
    </w:p>
    <w:p w:rsidR="00E537BB" w:rsidRDefault="00E537BB" w:rsidP="00E537BB">
      <w:pPr>
        <w:pStyle w:val="NormalWeb"/>
      </w:pPr>
      <w:r>
        <w:t>● Hydrocarbon processing equipment.</w:t>
      </w:r>
    </w:p>
    <w:p w:rsidR="00E537BB" w:rsidRDefault="00E537BB" w:rsidP="00E537BB">
      <w:pPr>
        <w:pStyle w:val="NormalWeb"/>
      </w:pPr>
      <w:r>
        <w:lastRenderedPageBreak/>
        <w:t>● Chemical processing systems handling diluted acids and alkalis.</w:t>
      </w:r>
    </w:p>
    <w:p w:rsidR="00E537BB" w:rsidRDefault="00E537BB" w:rsidP="00E537BB">
      <w:pPr>
        <w:pStyle w:val="NormalWeb"/>
      </w:pPr>
      <w:r>
        <w:t>● Industrial equipment requiring reliable sealing under medium pressure and temperature conditions.</w:t>
      </w:r>
    </w:p>
    <w:p w:rsidR="00E537BB" w:rsidRDefault="00224718" w:rsidP="00E537BB">
      <w:r>
        <w:pict>
          <v:rect id="_x0000_i1027" style="width:0;height:1.5pt" o:hralign="center" o:hrstd="t" o:hr="t" fillcolor="#a0a0a0" stroked="f"/>
        </w:pict>
      </w:r>
    </w:p>
    <w:p w:rsidR="00E537BB" w:rsidRDefault="00E537BB" w:rsidP="00E537BB">
      <w:pPr>
        <w:pStyle w:val="Heading2"/>
      </w:pPr>
      <w:r>
        <w:t>Technical Specifications</w:t>
      </w:r>
    </w:p>
    <w:p w:rsidR="00E537BB" w:rsidRDefault="00E537BB" w:rsidP="00E537BB">
      <w:pPr>
        <w:pStyle w:val="Heading3"/>
      </w:pPr>
      <w:r>
        <w:t>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7"/>
        <w:gridCol w:w="1251"/>
        <w:gridCol w:w="1085"/>
      </w:tblGrid>
      <w:tr w:rsidR="00E537BB" w:rsidTr="00224718">
        <w:trPr>
          <w:tblHeader/>
          <w:tblCellSpacing w:w="15" w:type="dxa"/>
        </w:trPr>
        <w:tc>
          <w:tcPr>
            <w:tcW w:w="0" w:type="auto"/>
            <w:vAlign w:val="center"/>
            <w:hideMark/>
          </w:tcPr>
          <w:p w:rsidR="00E537BB" w:rsidRDefault="00E537BB">
            <w:pPr>
              <w:jc w:val="center"/>
              <w:rPr>
                <w:b/>
                <w:bCs/>
              </w:rPr>
            </w:pPr>
            <w:r>
              <w:rPr>
                <w:b/>
                <w:bCs/>
              </w:rPr>
              <w:t>Property</w:t>
            </w:r>
          </w:p>
        </w:tc>
        <w:tc>
          <w:tcPr>
            <w:tcW w:w="0" w:type="auto"/>
            <w:vAlign w:val="center"/>
            <w:hideMark/>
          </w:tcPr>
          <w:p w:rsidR="00E537BB" w:rsidRDefault="00E537BB">
            <w:pPr>
              <w:jc w:val="center"/>
              <w:rPr>
                <w:b/>
                <w:bCs/>
              </w:rPr>
            </w:pPr>
            <w:r>
              <w:rPr>
                <w:b/>
                <w:bCs/>
              </w:rPr>
              <w:t>Test Method</w:t>
            </w:r>
          </w:p>
        </w:tc>
        <w:tc>
          <w:tcPr>
            <w:tcW w:w="0" w:type="auto"/>
            <w:vAlign w:val="center"/>
            <w:hideMark/>
          </w:tcPr>
          <w:p w:rsidR="00E537BB" w:rsidRDefault="00E537BB">
            <w:pPr>
              <w:jc w:val="center"/>
              <w:rPr>
                <w:b/>
                <w:bCs/>
              </w:rPr>
            </w:pPr>
            <w:r>
              <w:rPr>
                <w:b/>
                <w:bCs/>
              </w:rPr>
              <w:t>Value</w:t>
            </w:r>
          </w:p>
        </w:tc>
      </w:tr>
      <w:tr w:rsidR="00E537BB" w:rsidTr="00224718">
        <w:trPr>
          <w:tblCellSpacing w:w="15" w:type="dxa"/>
        </w:trPr>
        <w:tc>
          <w:tcPr>
            <w:tcW w:w="0" w:type="auto"/>
            <w:vAlign w:val="center"/>
            <w:hideMark/>
          </w:tcPr>
          <w:p w:rsidR="00E537BB" w:rsidRDefault="00E537BB">
            <w:r>
              <w:t>Density (g/cm³)</w:t>
            </w:r>
          </w:p>
        </w:tc>
        <w:tc>
          <w:tcPr>
            <w:tcW w:w="0" w:type="auto"/>
            <w:vAlign w:val="center"/>
            <w:hideMark/>
          </w:tcPr>
          <w:p w:rsidR="00E537BB" w:rsidRDefault="00E537BB">
            <w:r>
              <w:t>ASTM F 1315</w:t>
            </w:r>
          </w:p>
        </w:tc>
        <w:tc>
          <w:tcPr>
            <w:tcW w:w="0" w:type="auto"/>
            <w:vAlign w:val="center"/>
            <w:hideMark/>
          </w:tcPr>
          <w:p w:rsidR="00E537BB" w:rsidRDefault="00E537BB">
            <w:r>
              <w:t>1.60 – 1.90</w:t>
            </w:r>
          </w:p>
        </w:tc>
      </w:tr>
      <w:tr w:rsidR="00E537BB" w:rsidTr="00224718">
        <w:trPr>
          <w:tblCellSpacing w:w="15" w:type="dxa"/>
        </w:trPr>
        <w:tc>
          <w:tcPr>
            <w:tcW w:w="0" w:type="auto"/>
            <w:vAlign w:val="center"/>
            <w:hideMark/>
          </w:tcPr>
          <w:p w:rsidR="00E537BB" w:rsidRDefault="00E537BB">
            <w:r>
              <w:t>Compressibility (%)</w:t>
            </w:r>
          </w:p>
        </w:tc>
        <w:tc>
          <w:tcPr>
            <w:tcW w:w="0" w:type="auto"/>
            <w:vAlign w:val="center"/>
            <w:hideMark/>
          </w:tcPr>
          <w:p w:rsidR="00E537BB" w:rsidRDefault="00E537BB">
            <w:r>
              <w:t>ASTM F 36 J</w:t>
            </w:r>
          </w:p>
        </w:tc>
        <w:tc>
          <w:tcPr>
            <w:tcW w:w="0" w:type="auto"/>
            <w:vAlign w:val="center"/>
            <w:hideMark/>
          </w:tcPr>
          <w:p w:rsidR="00E537BB" w:rsidRDefault="00E537BB">
            <w:r>
              <w:t>7 – 17</w:t>
            </w:r>
          </w:p>
        </w:tc>
      </w:tr>
      <w:tr w:rsidR="00E537BB" w:rsidTr="00224718">
        <w:trPr>
          <w:tblCellSpacing w:w="15" w:type="dxa"/>
        </w:trPr>
        <w:tc>
          <w:tcPr>
            <w:tcW w:w="0" w:type="auto"/>
            <w:vAlign w:val="center"/>
            <w:hideMark/>
          </w:tcPr>
          <w:p w:rsidR="00E537BB" w:rsidRDefault="00E537BB">
            <w:r>
              <w:t>Recovery (%)</w:t>
            </w:r>
          </w:p>
        </w:tc>
        <w:tc>
          <w:tcPr>
            <w:tcW w:w="0" w:type="auto"/>
            <w:vAlign w:val="center"/>
            <w:hideMark/>
          </w:tcPr>
          <w:p w:rsidR="00E537BB" w:rsidRDefault="00E537BB">
            <w:r>
              <w:t>ASTM F 36 J</w:t>
            </w:r>
          </w:p>
        </w:tc>
        <w:tc>
          <w:tcPr>
            <w:tcW w:w="0" w:type="auto"/>
            <w:vAlign w:val="center"/>
            <w:hideMark/>
          </w:tcPr>
          <w:p w:rsidR="00E537BB" w:rsidRDefault="00E537BB">
            <w:r>
              <w:t>≥ 50</w:t>
            </w:r>
          </w:p>
        </w:tc>
      </w:tr>
      <w:tr w:rsidR="00E537BB" w:rsidTr="00224718">
        <w:trPr>
          <w:tblCellSpacing w:w="15" w:type="dxa"/>
        </w:trPr>
        <w:tc>
          <w:tcPr>
            <w:tcW w:w="0" w:type="auto"/>
            <w:vAlign w:val="center"/>
            <w:hideMark/>
          </w:tcPr>
          <w:p w:rsidR="00E537BB" w:rsidRDefault="00E537BB">
            <w:r>
              <w:t>Tensile Strength (N/mm²)</w:t>
            </w:r>
          </w:p>
        </w:tc>
        <w:tc>
          <w:tcPr>
            <w:tcW w:w="0" w:type="auto"/>
            <w:vAlign w:val="center"/>
            <w:hideMark/>
          </w:tcPr>
          <w:p w:rsidR="00E537BB" w:rsidRDefault="00E537BB">
            <w:r>
              <w:t>ASTM F 152</w:t>
            </w:r>
          </w:p>
        </w:tc>
        <w:tc>
          <w:tcPr>
            <w:tcW w:w="0" w:type="auto"/>
            <w:vAlign w:val="center"/>
            <w:hideMark/>
          </w:tcPr>
          <w:p w:rsidR="00E537BB" w:rsidRDefault="00E537BB">
            <w:r>
              <w:t>≥ 9.50</w:t>
            </w:r>
          </w:p>
        </w:tc>
      </w:tr>
      <w:tr w:rsidR="00E537BB" w:rsidTr="00224718">
        <w:trPr>
          <w:tblCellSpacing w:w="15" w:type="dxa"/>
        </w:trPr>
        <w:tc>
          <w:tcPr>
            <w:tcW w:w="0" w:type="auto"/>
            <w:vAlign w:val="center"/>
            <w:hideMark/>
          </w:tcPr>
          <w:p w:rsidR="00E537BB" w:rsidRDefault="00E537BB">
            <w:r>
              <w:t>Maximum Peak Temperature (°C)</w:t>
            </w:r>
          </w:p>
        </w:tc>
        <w:tc>
          <w:tcPr>
            <w:tcW w:w="0" w:type="auto"/>
            <w:vAlign w:val="center"/>
            <w:hideMark/>
          </w:tcPr>
          <w:p w:rsidR="00E537BB" w:rsidRDefault="00E537BB">
            <w:r>
              <w:t>-</w:t>
            </w:r>
          </w:p>
        </w:tc>
        <w:tc>
          <w:tcPr>
            <w:tcW w:w="0" w:type="auto"/>
            <w:vAlign w:val="center"/>
            <w:hideMark/>
          </w:tcPr>
          <w:p w:rsidR="00E537BB" w:rsidRDefault="00E537BB">
            <w:r>
              <w:t>300</w:t>
            </w:r>
          </w:p>
        </w:tc>
      </w:tr>
      <w:tr w:rsidR="00E537BB" w:rsidTr="00224718">
        <w:trPr>
          <w:tblCellSpacing w:w="15" w:type="dxa"/>
        </w:trPr>
        <w:tc>
          <w:tcPr>
            <w:tcW w:w="0" w:type="auto"/>
            <w:vAlign w:val="center"/>
            <w:hideMark/>
          </w:tcPr>
          <w:p w:rsidR="00E537BB" w:rsidRDefault="00E537BB">
            <w:r>
              <w:t>Maximum Operating Temperature (°C)</w:t>
            </w:r>
          </w:p>
        </w:tc>
        <w:tc>
          <w:tcPr>
            <w:tcW w:w="0" w:type="auto"/>
            <w:vAlign w:val="center"/>
            <w:hideMark/>
          </w:tcPr>
          <w:p w:rsidR="00E537BB" w:rsidRDefault="00E537BB">
            <w:r>
              <w:t>-</w:t>
            </w:r>
          </w:p>
        </w:tc>
        <w:tc>
          <w:tcPr>
            <w:tcW w:w="0" w:type="auto"/>
            <w:vAlign w:val="center"/>
            <w:hideMark/>
          </w:tcPr>
          <w:p w:rsidR="00E537BB" w:rsidRDefault="00E537BB">
            <w:r>
              <w:t>220</w:t>
            </w:r>
          </w:p>
        </w:tc>
      </w:tr>
      <w:tr w:rsidR="00E537BB" w:rsidTr="00224718">
        <w:trPr>
          <w:tblCellSpacing w:w="15" w:type="dxa"/>
        </w:trPr>
        <w:tc>
          <w:tcPr>
            <w:tcW w:w="0" w:type="auto"/>
            <w:vAlign w:val="center"/>
            <w:hideMark/>
          </w:tcPr>
          <w:p w:rsidR="00E537BB" w:rsidRDefault="00E537BB">
            <w:r>
              <w:t>Maximum Operating Pressure (bar)</w:t>
            </w:r>
          </w:p>
        </w:tc>
        <w:tc>
          <w:tcPr>
            <w:tcW w:w="0" w:type="auto"/>
            <w:vAlign w:val="center"/>
            <w:hideMark/>
          </w:tcPr>
          <w:p w:rsidR="00E537BB" w:rsidRDefault="00E537BB">
            <w:r>
              <w:t>-</w:t>
            </w:r>
          </w:p>
        </w:tc>
        <w:tc>
          <w:tcPr>
            <w:tcW w:w="0" w:type="auto"/>
            <w:vAlign w:val="center"/>
            <w:hideMark/>
          </w:tcPr>
          <w:p w:rsidR="00E537BB" w:rsidRDefault="00E537BB">
            <w:r>
              <w:t>80</w:t>
            </w:r>
          </w:p>
        </w:tc>
      </w:tr>
    </w:tbl>
    <w:p w:rsidR="00E537BB" w:rsidRDefault="00E537BB" w:rsidP="00E537BB">
      <w:pPr>
        <w:pStyle w:val="Heading3"/>
      </w:pPr>
      <w:r>
        <w:t>Availability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4007"/>
      </w:tblGrid>
      <w:tr w:rsidR="00E537BB" w:rsidTr="00224718">
        <w:trPr>
          <w:tblHeader/>
          <w:tblCellSpacing w:w="15" w:type="dxa"/>
        </w:trPr>
        <w:tc>
          <w:tcPr>
            <w:tcW w:w="0" w:type="auto"/>
            <w:vAlign w:val="center"/>
            <w:hideMark/>
          </w:tcPr>
          <w:p w:rsidR="00E537BB" w:rsidRDefault="00E537BB">
            <w:pPr>
              <w:jc w:val="center"/>
              <w:rPr>
                <w:b/>
                <w:bCs/>
              </w:rPr>
            </w:pPr>
            <w:r>
              <w:rPr>
                <w:b/>
                <w:bCs/>
              </w:rPr>
              <w:t>Property</w:t>
            </w:r>
          </w:p>
        </w:tc>
        <w:tc>
          <w:tcPr>
            <w:tcW w:w="0" w:type="auto"/>
            <w:vAlign w:val="center"/>
            <w:hideMark/>
          </w:tcPr>
          <w:p w:rsidR="00E537BB" w:rsidRDefault="00E537BB">
            <w:pPr>
              <w:jc w:val="center"/>
              <w:rPr>
                <w:b/>
                <w:bCs/>
              </w:rPr>
            </w:pPr>
            <w:r>
              <w:rPr>
                <w:b/>
                <w:bCs/>
              </w:rPr>
              <w:t>Value</w:t>
            </w:r>
          </w:p>
        </w:tc>
      </w:tr>
      <w:tr w:rsidR="00E537BB" w:rsidTr="00224718">
        <w:trPr>
          <w:tblCellSpacing w:w="15" w:type="dxa"/>
        </w:trPr>
        <w:tc>
          <w:tcPr>
            <w:tcW w:w="0" w:type="auto"/>
            <w:vAlign w:val="center"/>
            <w:hideMark/>
          </w:tcPr>
          <w:p w:rsidR="00E537BB" w:rsidRDefault="00E537BB">
            <w:r>
              <w:t>Sheet Size</w:t>
            </w:r>
          </w:p>
        </w:tc>
        <w:tc>
          <w:tcPr>
            <w:tcW w:w="0" w:type="auto"/>
            <w:vAlign w:val="center"/>
            <w:hideMark/>
          </w:tcPr>
          <w:p w:rsidR="00E537BB" w:rsidRDefault="00E537BB">
            <w:r>
              <w:t>1500 mm × 1500 mm, 1500 mm × 3000 mm</w:t>
            </w:r>
          </w:p>
        </w:tc>
      </w:tr>
      <w:tr w:rsidR="00E537BB" w:rsidTr="00224718">
        <w:trPr>
          <w:tblCellSpacing w:w="15" w:type="dxa"/>
        </w:trPr>
        <w:tc>
          <w:tcPr>
            <w:tcW w:w="0" w:type="auto"/>
            <w:vAlign w:val="center"/>
            <w:hideMark/>
          </w:tcPr>
          <w:p w:rsidR="00E537BB" w:rsidRDefault="00E537BB">
            <w:r>
              <w:t>Thickness</w:t>
            </w:r>
          </w:p>
        </w:tc>
        <w:tc>
          <w:tcPr>
            <w:tcW w:w="0" w:type="auto"/>
            <w:vAlign w:val="center"/>
            <w:hideMark/>
          </w:tcPr>
          <w:p w:rsidR="00E537BB" w:rsidRDefault="00E537BB">
            <w:r>
              <w:t>0.5, 0.8, 1.0, 1.5, 2.0, 2.5, 3.0, 4.0 &amp; 5.0 mm</w:t>
            </w:r>
          </w:p>
        </w:tc>
      </w:tr>
    </w:tbl>
    <w:p w:rsidR="00E537BB" w:rsidRDefault="00224718" w:rsidP="00E537BB">
      <w:r>
        <w:pict>
          <v:rect id="_x0000_i1028" style="width:0;height:1.5pt" o:hralign="center" o:hrstd="t" o:hr="t" fillcolor="#a0a0a0" stroked="f"/>
        </w:pict>
      </w:r>
    </w:p>
    <w:p w:rsidR="00E537BB" w:rsidRDefault="00E537BB" w:rsidP="00E537BB">
      <w:pPr>
        <w:pStyle w:val="Heading2"/>
      </w:pPr>
      <w:r>
        <w:t>Performance Benefits</w:t>
      </w:r>
      <w:bookmarkStart w:id="0" w:name="_GoBack"/>
      <w:bookmarkEnd w:id="0"/>
    </w:p>
    <w:p w:rsidR="00E537BB" w:rsidRDefault="00E537BB" w:rsidP="00E537BB">
      <w:pPr>
        <w:pStyle w:val="NormalWeb"/>
      </w:pPr>
      <w:r>
        <w:rPr>
          <w:rFonts w:ascii="Segoe UI Symbol" w:hAnsi="Segoe UI Symbol" w:cs="Segoe UI Symbol"/>
        </w:rPr>
        <w:t>✓</w:t>
      </w:r>
      <w:r>
        <w:t xml:space="preserve"> Excellent sealing performance for oils, fuels, steam, water, gases, and hydrocarbons.</w:t>
      </w:r>
    </w:p>
    <w:p w:rsidR="00E537BB" w:rsidRDefault="00E537BB" w:rsidP="00E537BB">
      <w:pPr>
        <w:pStyle w:val="NormalWeb"/>
      </w:pPr>
      <w:r>
        <w:rPr>
          <w:rFonts w:ascii="Segoe UI Symbol" w:hAnsi="Segoe UI Symbol" w:cs="Segoe UI Symbol"/>
        </w:rPr>
        <w:t>✓</w:t>
      </w:r>
      <w:r>
        <w:t xml:space="preserve"> High tensile strength ensures durability in demanding industrial environments.</w:t>
      </w:r>
    </w:p>
    <w:p w:rsidR="00E537BB" w:rsidRDefault="00E537BB" w:rsidP="00E537BB">
      <w:pPr>
        <w:pStyle w:val="NormalWeb"/>
      </w:pPr>
      <w:r>
        <w:rPr>
          <w:rFonts w:ascii="Segoe UI Symbol" w:hAnsi="Segoe UI Symbol" w:cs="Segoe UI Symbol"/>
        </w:rPr>
        <w:t>✓</w:t>
      </w:r>
      <w:r>
        <w:t xml:space="preserve"> Superior recovery characteristics maintain seal integrity under fluctuating loads.</w:t>
      </w:r>
    </w:p>
    <w:p w:rsidR="00E537BB" w:rsidRDefault="00E537BB" w:rsidP="00E537BB">
      <w:pPr>
        <w:pStyle w:val="NormalWeb"/>
      </w:pPr>
      <w:r>
        <w:rPr>
          <w:rFonts w:ascii="Segoe UI Symbol" w:hAnsi="Segoe UI Symbol" w:cs="Segoe UI Symbol"/>
        </w:rPr>
        <w:t>✓</w:t>
      </w:r>
      <w:r>
        <w:t xml:space="preserve"> Low stress relaxation improves long-term gasket reliability.</w:t>
      </w:r>
    </w:p>
    <w:p w:rsidR="00E537BB" w:rsidRDefault="00E537BB" w:rsidP="00E537BB">
      <w:pPr>
        <w:pStyle w:val="NormalWeb"/>
      </w:pPr>
      <w:r>
        <w:rPr>
          <w:rFonts w:ascii="Segoe UI Symbol" w:hAnsi="Segoe UI Symbol" w:cs="Segoe UI Symbol"/>
        </w:rPr>
        <w:t>✓</w:t>
      </w:r>
      <w:r>
        <w:t xml:space="preserve"> Excellent resistance to oil and fuel absorption.</w:t>
      </w:r>
    </w:p>
    <w:p w:rsidR="00E537BB" w:rsidRDefault="00E537BB" w:rsidP="00E537BB">
      <w:pPr>
        <w:pStyle w:val="NormalWeb"/>
      </w:pPr>
      <w:r>
        <w:rPr>
          <w:rFonts w:ascii="Segoe UI Symbol" w:hAnsi="Segoe UI Symbol" w:cs="Segoe UI Symbol"/>
        </w:rPr>
        <w:t>✓</w:t>
      </w:r>
      <w:r>
        <w:t xml:space="preserve"> High gas tightness minimizes leakage and improves process safety.</w:t>
      </w:r>
    </w:p>
    <w:p w:rsidR="00E537BB" w:rsidRDefault="00E537BB" w:rsidP="00E537BB">
      <w:pPr>
        <w:pStyle w:val="NormalWeb"/>
      </w:pPr>
      <w:r>
        <w:rPr>
          <w:rFonts w:ascii="Segoe UI Symbol" w:hAnsi="Segoe UI Symbol" w:cs="Segoe UI Symbol"/>
        </w:rPr>
        <w:t>✓</w:t>
      </w:r>
      <w:r>
        <w:t xml:space="preserve"> Suitable for medium-pressure applications up to 80 </w:t>
      </w:r>
      <w:proofErr w:type="gramStart"/>
      <w:r>
        <w:t>bar</w:t>
      </w:r>
      <w:proofErr w:type="gramEnd"/>
      <w:r>
        <w:t>.</w:t>
      </w:r>
    </w:p>
    <w:p w:rsidR="00E537BB" w:rsidRDefault="00E537BB" w:rsidP="00E537BB">
      <w:pPr>
        <w:pStyle w:val="NormalWeb"/>
      </w:pPr>
      <w:r>
        <w:rPr>
          <w:rFonts w:ascii="Segoe UI Symbol" w:hAnsi="Segoe UI Symbol" w:cs="Segoe UI Symbol"/>
        </w:rPr>
        <w:t>✓</w:t>
      </w:r>
      <w:r>
        <w:t xml:space="preserve"> Available in a wide range of thicknesses and sheet sizes for flexible gasket fabrication.</w:t>
      </w:r>
    </w:p>
    <w:p w:rsidR="00E537BB" w:rsidRDefault="00E537BB" w:rsidP="00E537BB">
      <w:pPr>
        <w:pStyle w:val="NormalWeb"/>
      </w:pPr>
      <w:r>
        <w:rPr>
          <w:rFonts w:ascii="Segoe UI Symbol" w:hAnsi="Segoe UI Symbol" w:cs="Segoe UI Symbol"/>
        </w:rPr>
        <w:lastRenderedPageBreak/>
        <w:t>✓</w:t>
      </w:r>
      <w:r>
        <w:t xml:space="preserve"> Cost-effective sealing solution for general industrial applications.</w:t>
      </w:r>
    </w:p>
    <w:p w:rsidR="00E537BB" w:rsidRDefault="00224718" w:rsidP="00E537BB">
      <w:r>
        <w:pict>
          <v:rect id="_x0000_i1029" style="width:0;height:1.5pt" o:hralign="center" o:hrstd="t" o:hr="t" fillcolor="#a0a0a0" stroked="f"/>
        </w:pict>
      </w:r>
    </w:p>
    <w:p w:rsidR="00E537BB" w:rsidRDefault="00E537BB" w:rsidP="00E537BB">
      <w:pPr>
        <w:pStyle w:val="Heading3"/>
      </w:pPr>
      <w:r>
        <w:t>Important Note</w:t>
      </w:r>
    </w:p>
    <w:p w:rsidR="00E537BB" w:rsidRDefault="00E537BB" w:rsidP="00E537BB">
      <w:pPr>
        <w:pStyle w:val="NormalWeb"/>
      </w:pPr>
      <w:r>
        <w:rPr>
          <w:rStyle w:val="Strong"/>
        </w:rPr>
        <w:t>Gaskets should not be subjected to maximum temperature and maximum pressure simultaneously.</w:t>
      </w:r>
    </w:p>
    <w:p w:rsidR="00757956" w:rsidRPr="00E537BB" w:rsidRDefault="00757956" w:rsidP="00E537BB"/>
    <w:sectPr w:rsidR="00757956" w:rsidRPr="00E537BB" w:rsidSect="001B5CE9">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E9"/>
    <w:rsid w:val="000D32C8"/>
    <w:rsid w:val="001B5CE9"/>
    <w:rsid w:val="00224718"/>
    <w:rsid w:val="00263B36"/>
    <w:rsid w:val="0031453C"/>
    <w:rsid w:val="004E43B0"/>
    <w:rsid w:val="00551EF7"/>
    <w:rsid w:val="0057227B"/>
    <w:rsid w:val="006A012D"/>
    <w:rsid w:val="00757956"/>
    <w:rsid w:val="00897E28"/>
    <w:rsid w:val="008C1F99"/>
    <w:rsid w:val="00904608"/>
    <w:rsid w:val="00AD7C23"/>
    <w:rsid w:val="00BA35C6"/>
    <w:rsid w:val="00C609C6"/>
    <w:rsid w:val="00CA53CA"/>
    <w:rsid w:val="00D1543F"/>
    <w:rsid w:val="00E024F6"/>
    <w:rsid w:val="00E53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106A2"/>
  <w15:chartTrackingRefBased/>
  <w15:docId w15:val="{687C6CC6-B7C0-40E9-8473-9DF76707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5C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5C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5C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5C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5CE9"/>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5CE9"/>
    <w:rPr>
      <w:b/>
      <w:bCs/>
    </w:rPr>
  </w:style>
  <w:style w:type="paragraph" w:styleId="NormalWeb">
    <w:name w:val="Normal (Web)"/>
    <w:basedOn w:val="Normal"/>
    <w:uiPriority w:val="99"/>
    <w:semiHidden/>
    <w:unhideWhenUsed/>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166876">
      <w:bodyDiv w:val="1"/>
      <w:marLeft w:val="0"/>
      <w:marRight w:val="0"/>
      <w:marTop w:val="0"/>
      <w:marBottom w:val="0"/>
      <w:divBdr>
        <w:top w:val="none" w:sz="0" w:space="0" w:color="auto"/>
        <w:left w:val="none" w:sz="0" w:space="0" w:color="auto"/>
        <w:bottom w:val="none" w:sz="0" w:space="0" w:color="auto"/>
        <w:right w:val="none" w:sz="0" w:space="0" w:color="auto"/>
      </w:divBdr>
      <w:divsChild>
        <w:div w:id="438185971">
          <w:marLeft w:val="0"/>
          <w:marRight w:val="0"/>
          <w:marTop w:val="0"/>
          <w:marBottom w:val="0"/>
          <w:divBdr>
            <w:top w:val="none" w:sz="0" w:space="0" w:color="auto"/>
            <w:left w:val="none" w:sz="0" w:space="0" w:color="auto"/>
            <w:bottom w:val="none" w:sz="0" w:space="0" w:color="auto"/>
            <w:right w:val="none" w:sz="0" w:space="0" w:color="auto"/>
          </w:divBdr>
        </w:div>
        <w:div w:id="155656518">
          <w:marLeft w:val="0"/>
          <w:marRight w:val="0"/>
          <w:marTop w:val="0"/>
          <w:marBottom w:val="0"/>
          <w:divBdr>
            <w:top w:val="none" w:sz="0" w:space="0" w:color="auto"/>
            <w:left w:val="none" w:sz="0" w:space="0" w:color="auto"/>
            <w:bottom w:val="none" w:sz="0" w:space="0" w:color="auto"/>
            <w:right w:val="none" w:sz="0" w:space="0" w:color="auto"/>
          </w:divBdr>
        </w:div>
        <w:div w:id="2136950195">
          <w:marLeft w:val="0"/>
          <w:marRight w:val="0"/>
          <w:marTop w:val="0"/>
          <w:marBottom w:val="0"/>
          <w:divBdr>
            <w:top w:val="none" w:sz="0" w:space="0" w:color="auto"/>
            <w:left w:val="none" w:sz="0" w:space="0" w:color="auto"/>
            <w:bottom w:val="none" w:sz="0" w:space="0" w:color="auto"/>
            <w:right w:val="none" w:sz="0" w:space="0" w:color="auto"/>
          </w:divBdr>
        </w:div>
        <w:div w:id="804785342">
          <w:marLeft w:val="0"/>
          <w:marRight w:val="0"/>
          <w:marTop w:val="0"/>
          <w:marBottom w:val="0"/>
          <w:divBdr>
            <w:top w:val="none" w:sz="0" w:space="0" w:color="auto"/>
            <w:left w:val="none" w:sz="0" w:space="0" w:color="auto"/>
            <w:bottom w:val="none" w:sz="0" w:space="0" w:color="auto"/>
            <w:right w:val="none" w:sz="0" w:space="0" w:color="auto"/>
          </w:divBdr>
        </w:div>
        <w:div w:id="1612859194">
          <w:marLeft w:val="0"/>
          <w:marRight w:val="0"/>
          <w:marTop w:val="0"/>
          <w:marBottom w:val="0"/>
          <w:divBdr>
            <w:top w:val="none" w:sz="0" w:space="0" w:color="auto"/>
            <w:left w:val="none" w:sz="0" w:space="0" w:color="auto"/>
            <w:bottom w:val="none" w:sz="0" w:space="0" w:color="auto"/>
            <w:right w:val="none" w:sz="0" w:space="0" w:color="auto"/>
          </w:divBdr>
        </w:div>
        <w:div w:id="1117530710">
          <w:marLeft w:val="0"/>
          <w:marRight w:val="0"/>
          <w:marTop w:val="0"/>
          <w:marBottom w:val="0"/>
          <w:divBdr>
            <w:top w:val="none" w:sz="0" w:space="0" w:color="auto"/>
            <w:left w:val="none" w:sz="0" w:space="0" w:color="auto"/>
            <w:bottom w:val="none" w:sz="0" w:space="0" w:color="auto"/>
            <w:right w:val="none" w:sz="0" w:space="0" w:color="auto"/>
          </w:divBdr>
        </w:div>
        <w:div w:id="879977633">
          <w:marLeft w:val="0"/>
          <w:marRight w:val="0"/>
          <w:marTop w:val="0"/>
          <w:marBottom w:val="0"/>
          <w:divBdr>
            <w:top w:val="none" w:sz="0" w:space="0" w:color="auto"/>
            <w:left w:val="none" w:sz="0" w:space="0" w:color="auto"/>
            <w:bottom w:val="none" w:sz="0" w:space="0" w:color="auto"/>
            <w:right w:val="none" w:sz="0" w:space="0" w:color="auto"/>
          </w:divBdr>
        </w:div>
        <w:div w:id="550270668">
          <w:marLeft w:val="0"/>
          <w:marRight w:val="0"/>
          <w:marTop w:val="0"/>
          <w:marBottom w:val="0"/>
          <w:divBdr>
            <w:top w:val="none" w:sz="0" w:space="0" w:color="auto"/>
            <w:left w:val="none" w:sz="0" w:space="0" w:color="auto"/>
            <w:bottom w:val="none" w:sz="0" w:space="0" w:color="auto"/>
            <w:right w:val="none" w:sz="0" w:space="0" w:color="auto"/>
          </w:divBdr>
        </w:div>
      </w:divsChild>
    </w:div>
    <w:div w:id="628979534">
      <w:bodyDiv w:val="1"/>
      <w:marLeft w:val="0"/>
      <w:marRight w:val="0"/>
      <w:marTop w:val="0"/>
      <w:marBottom w:val="0"/>
      <w:divBdr>
        <w:top w:val="none" w:sz="0" w:space="0" w:color="auto"/>
        <w:left w:val="none" w:sz="0" w:space="0" w:color="auto"/>
        <w:bottom w:val="none" w:sz="0" w:space="0" w:color="auto"/>
        <w:right w:val="none" w:sz="0" w:space="0" w:color="auto"/>
      </w:divBdr>
    </w:div>
    <w:div w:id="723605708">
      <w:bodyDiv w:val="1"/>
      <w:marLeft w:val="0"/>
      <w:marRight w:val="0"/>
      <w:marTop w:val="0"/>
      <w:marBottom w:val="0"/>
      <w:divBdr>
        <w:top w:val="none" w:sz="0" w:space="0" w:color="auto"/>
        <w:left w:val="none" w:sz="0" w:space="0" w:color="auto"/>
        <w:bottom w:val="none" w:sz="0" w:space="0" w:color="auto"/>
        <w:right w:val="none" w:sz="0" w:space="0" w:color="auto"/>
      </w:divBdr>
      <w:divsChild>
        <w:div w:id="1728189189">
          <w:marLeft w:val="0"/>
          <w:marRight w:val="0"/>
          <w:marTop w:val="0"/>
          <w:marBottom w:val="0"/>
          <w:divBdr>
            <w:top w:val="none" w:sz="0" w:space="0" w:color="auto"/>
            <w:left w:val="none" w:sz="0" w:space="0" w:color="auto"/>
            <w:bottom w:val="none" w:sz="0" w:space="0" w:color="auto"/>
            <w:right w:val="none" w:sz="0" w:space="0" w:color="auto"/>
          </w:divBdr>
          <w:divsChild>
            <w:div w:id="10385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3556">
      <w:bodyDiv w:val="1"/>
      <w:marLeft w:val="0"/>
      <w:marRight w:val="0"/>
      <w:marTop w:val="0"/>
      <w:marBottom w:val="0"/>
      <w:divBdr>
        <w:top w:val="none" w:sz="0" w:space="0" w:color="auto"/>
        <w:left w:val="none" w:sz="0" w:space="0" w:color="auto"/>
        <w:bottom w:val="none" w:sz="0" w:space="0" w:color="auto"/>
        <w:right w:val="none" w:sz="0" w:space="0" w:color="auto"/>
      </w:divBdr>
    </w:div>
    <w:div w:id="1204826807">
      <w:bodyDiv w:val="1"/>
      <w:marLeft w:val="0"/>
      <w:marRight w:val="0"/>
      <w:marTop w:val="0"/>
      <w:marBottom w:val="0"/>
      <w:divBdr>
        <w:top w:val="none" w:sz="0" w:space="0" w:color="auto"/>
        <w:left w:val="none" w:sz="0" w:space="0" w:color="auto"/>
        <w:bottom w:val="none" w:sz="0" w:space="0" w:color="auto"/>
        <w:right w:val="none" w:sz="0" w:space="0" w:color="auto"/>
      </w:divBdr>
      <w:divsChild>
        <w:div w:id="1404331103">
          <w:marLeft w:val="0"/>
          <w:marRight w:val="0"/>
          <w:marTop w:val="0"/>
          <w:marBottom w:val="0"/>
          <w:divBdr>
            <w:top w:val="none" w:sz="0" w:space="0" w:color="auto"/>
            <w:left w:val="none" w:sz="0" w:space="0" w:color="auto"/>
            <w:bottom w:val="none" w:sz="0" w:space="0" w:color="auto"/>
            <w:right w:val="none" w:sz="0" w:space="0" w:color="auto"/>
          </w:divBdr>
          <w:divsChild>
            <w:div w:id="1789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4136">
      <w:bodyDiv w:val="1"/>
      <w:marLeft w:val="0"/>
      <w:marRight w:val="0"/>
      <w:marTop w:val="0"/>
      <w:marBottom w:val="0"/>
      <w:divBdr>
        <w:top w:val="none" w:sz="0" w:space="0" w:color="auto"/>
        <w:left w:val="none" w:sz="0" w:space="0" w:color="auto"/>
        <w:bottom w:val="none" w:sz="0" w:space="0" w:color="auto"/>
        <w:right w:val="none" w:sz="0" w:space="0" w:color="auto"/>
      </w:divBdr>
      <w:divsChild>
        <w:div w:id="1781991790">
          <w:marLeft w:val="0"/>
          <w:marRight w:val="0"/>
          <w:marTop w:val="0"/>
          <w:marBottom w:val="0"/>
          <w:divBdr>
            <w:top w:val="none" w:sz="0" w:space="0" w:color="auto"/>
            <w:left w:val="none" w:sz="0" w:space="0" w:color="auto"/>
            <w:bottom w:val="none" w:sz="0" w:space="0" w:color="auto"/>
            <w:right w:val="none" w:sz="0" w:space="0" w:color="auto"/>
          </w:divBdr>
        </w:div>
        <w:div w:id="1329403463">
          <w:marLeft w:val="0"/>
          <w:marRight w:val="0"/>
          <w:marTop w:val="0"/>
          <w:marBottom w:val="0"/>
          <w:divBdr>
            <w:top w:val="none" w:sz="0" w:space="0" w:color="auto"/>
            <w:left w:val="none" w:sz="0" w:space="0" w:color="auto"/>
            <w:bottom w:val="none" w:sz="0" w:space="0" w:color="auto"/>
            <w:right w:val="none" w:sz="0" w:space="0" w:color="auto"/>
          </w:divBdr>
        </w:div>
        <w:div w:id="534851515">
          <w:marLeft w:val="0"/>
          <w:marRight w:val="0"/>
          <w:marTop w:val="0"/>
          <w:marBottom w:val="0"/>
          <w:divBdr>
            <w:top w:val="none" w:sz="0" w:space="0" w:color="auto"/>
            <w:left w:val="none" w:sz="0" w:space="0" w:color="auto"/>
            <w:bottom w:val="none" w:sz="0" w:space="0" w:color="auto"/>
            <w:right w:val="none" w:sz="0" w:space="0" w:color="auto"/>
          </w:divBdr>
        </w:div>
        <w:div w:id="1788426741">
          <w:marLeft w:val="0"/>
          <w:marRight w:val="0"/>
          <w:marTop w:val="0"/>
          <w:marBottom w:val="0"/>
          <w:divBdr>
            <w:top w:val="none" w:sz="0" w:space="0" w:color="auto"/>
            <w:left w:val="none" w:sz="0" w:space="0" w:color="auto"/>
            <w:bottom w:val="none" w:sz="0" w:space="0" w:color="auto"/>
            <w:right w:val="none" w:sz="0" w:space="0" w:color="auto"/>
          </w:divBdr>
        </w:div>
        <w:div w:id="1967154159">
          <w:marLeft w:val="0"/>
          <w:marRight w:val="0"/>
          <w:marTop w:val="0"/>
          <w:marBottom w:val="0"/>
          <w:divBdr>
            <w:top w:val="none" w:sz="0" w:space="0" w:color="auto"/>
            <w:left w:val="none" w:sz="0" w:space="0" w:color="auto"/>
            <w:bottom w:val="none" w:sz="0" w:space="0" w:color="auto"/>
            <w:right w:val="none" w:sz="0" w:space="0" w:color="auto"/>
          </w:divBdr>
        </w:div>
        <w:div w:id="2094160980">
          <w:marLeft w:val="0"/>
          <w:marRight w:val="0"/>
          <w:marTop w:val="0"/>
          <w:marBottom w:val="0"/>
          <w:divBdr>
            <w:top w:val="none" w:sz="0" w:space="0" w:color="auto"/>
            <w:left w:val="none" w:sz="0" w:space="0" w:color="auto"/>
            <w:bottom w:val="none" w:sz="0" w:space="0" w:color="auto"/>
            <w:right w:val="none" w:sz="0" w:space="0" w:color="auto"/>
          </w:divBdr>
        </w:div>
        <w:div w:id="739449587">
          <w:marLeft w:val="0"/>
          <w:marRight w:val="0"/>
          <w:marTop w:val="0"/>
          <w:marBottom w:val="0"/>
          <w:divBdr>
            <w:top w:val="none" w:sz="0" w:space="0" w:color="auto"/>
            <w:left w:val="none" w:sz="0" w:space="0" w:color="auto"/>
            <w:bottom w:val="none" w:sz="0" w:space="0" w:color="auto"/>
            <w:right w:val="none" w:sz="0" w:space="0" w:color="auto"/>
          </w:divBdr>
        </w:div>
      </w:divsChild>
    </w:div>
    <w:div w:id="1779444588">
      <w:bodyDiv w:val="1"/>
      <w:marLeft w:val="0"/>
      <w:marRight w:val="0"/>
      <w:marTop w:val="0"/>
      <w:marBottom w:val="0"/>
      <w:divBdr>
        <w:top w:val="none" w:sz="0" w:space="0" w:color="auto"/>
        <w:left w:val="none" w:sz="0" w:space="0" w:color="auto"/>
        <w:bottom w:val="none" w:sz="0" w:space="0" w:color="auto"/>
        <w:right w:val="none" w:sz="0" w:space="0" w:color="auto"/>
      </w:divBdr>
      <w:divsChild>
        <w:div w:id="2057192861">
          <w:marLeft w:val="0"/>
          <w:marRight w:val="0"/>
          <w:marTop w:val="0"/>
          <w:marBottom w:val="0"/>
          <w:divBdr>
            <w:top w:val="none" w:sz="0" w:space="0" w:color="auto"/>
            <w:left w:val="none" w:sz="0" w:space="0" w:color="auto"/>
            <w:bottom w:val="none" w:sz="0" w:space="0" w:color="auto"/>
            <w:right w:val="none" w:sz="0" w:space="0" w:color="auto"/>
          </w:divBdr>
          <w:divsChild>
            <w:div w:id="1794056631">
              <w:marLeft w:val="0"/>
              <w:marRight w:val="0"/>
              <w:marTop w:val="0"/>
              <w:marBottom w:val="0"/>
              <w:divBdr>
                <w:top w:val="none" w:sz="0" w:space="0" w:color="auto"/>
                <w:left w:val="none" w:sz="0" w:space="0" w:color="auto"/>
                <w:bottom w:val="none" w:sz="0" w:space="0" w:color="auto"/>
                <w:right w:val="none" w:sz="0" w:space="0" w:color="auto"/>
              </w:divBdr>
            </w:div>
          </w:divsChild>
        </w:div>
        <w:div w:id="1046904473">
          <w:marLeft w:val="0"/>
          <w:marRight w:val="0"/>
          <w:marTop w:val="0"/>
          <w:marBottom w:val="0"/>
          <w:divBdr>
            <w:top w:val="none" w:sz="0" w:space="0" w:color="auto"/>
            <w:left w:val="none" w:sz="0" w:space="0" w:color="auto"/>
            <w:bottom w:val="none" w:sz="0" w:space="0" w:color="auto"/>
            <w:right w:val="none" w:sz="0" w:space="0" w:color="auto"/>
          </w:divBdr>
          <w:divsChild>
            <w:div w:id="4189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4</cp:revision>
  <dcterms:created xsi:type="dcterms:W3CDTF">2026-06-05T04:53:00Z</dcterms:created>
  <dcterms:modified xsi:type="dcterms:W3CDTF">2026-06-08T10:10:00Z</dcterms:modified>
</cp:coreProperties>
</file>