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5D02" w:rsidRDefault="00515D02" w:rsidP="00515D02">
      <w:pPr>
        <w:pStyle w:val="Heading1"/>
      </w:pPr>
      <w:r>
        <w:t>OR 120</w:t>
      </w:r>
    </w:p>
    <w:p w:rsidR="00515D02" w:rsidRDefault="00515D02" w:rsidP="00515D02">
      <w:pPr>
        <w:pStyle w:val="Heading2"/>
      </w:pPr>
      <w:r>
        <w:t>Economical Ramie Fibre Packing with PTFE Dispersion for Enhanced Chemical Resistance</w:t>
      </w:r>
    </w:p>
    <w:p w:rsidR="00515D02" w:rsidRDefault="00515D02" w:rsidP="00515D02">
      <w:pPr>
        <w:pStyle w:val="NormalWeb"/>
      </w:pPr>
      <w:r>
        <w:rPr>
          <w:rStyle w:val="Strong"/>
        </w:rPr>
        <w:t>INMARCO Style OR 120</w:t>
      </w:r>
      <w:r>
        <w:t xml:space="preserve"> is a premium-grade economical packing braided from extremely strong Ramie </w:t>
      </w:r>
      <w:r w:rsidR="00A21A13">
        <w:t>fibre</w:t>
      </w:r>
      <w:r>
        <w:t xml:space="preserve"> and impregnated with proprietary PTFE dispersion to enhance chemical resistance and sealing performance. The packing combines the natural strength of Ramie </w:t>
      </w:r>
      <w:r w:rsidR="00A21A13">
        <w:t>fibre</w:t>
      </w:r>
      <w:r>
        <w:t xml:space="preserve"> with the lubricating and sealing properties of PTFE, making it a reliable and cost-effective solution for a wide range of industrial applications.</w:t>
      </w:r>
    </w:p>
    <w:p w:rsidR="00515D02" w:rsidRDefault="00515D02" w:rsidP="00515D02">
      <w:pPr>
        <w:pStyle w:val="NormalWeb"/>
      </w:pPr>
      <w:r>
        <w:t>Its dense construction allows optimum retention of the PTFE dispersion, resulting in improved sealing efficiency, reduced leakage, and extended service life. OR 120 provides excellent abrasion resistance and mechanical durability while maintaining low friction during operation.</w:t>
      </w:r>
    </w:p>
    <w:p w:rsidR="00515D02" w:rsidRDefault="00A34C2F" w:rsidP="00515D02">
      <w:r>
        <w:pict>
          <v:rect id="_x0000_i1025" style="width:0;height:1.5pt" o:hralign="center" o:hrstd="t" o:hr="t" fillcolor="#a0a0a0" stroked="f"/>
        </w:pict>
      </w:r>
    </w:p>
    <w:p w:rsidR="00515D02" w:rsidRDefault="00515D02" w:rsidP="00515D02">
      <w:pPr>
        <w:pStyle w:val="Heading2"/>
      </w:pPr>
      <w:r>
        <w:t>Key Features</w:t>
      </w:r>
    </w:p>
    <w:p w:rsidR="00515D02" w:rsidRDefault="00515D02" w:rsidP="00515D02">
      <w:pPr>
        <w:pStyle w:val="NormalWeb"/>
      </w:pPr>
      <w:r>
        <w:t xml:space="preserve">● Braided from high-strength Ramie </w:t>
      </w:r>
      <w:r w:rsidR="00A21A13">
        <w:t>fibre</w:t>
      </w:r>
      <w:r>
        <w:t xml:space="preserve"> for excellent mechanical strength and durability.</w:t>
      </w:r>
    </w:p>
    <w:p w:rsidR="00515D02" w:rsidRDefault="00515D02" w:rsidP="00515D02">
      <w:pPr>
        <w:pStyle w:val="NormalWeb"/>
      </w:pPr>
      <w:r>
        <w:t>● Impregnated with proprietary PTFE dispersion for enhanced chemical resistance.</w:t>
      </w:r>
    </w:p>
    <w:p w:rsidR="00515D02" w:rsidRDefault="00515D02" w:rsidP="00515D02">
      <w:pPr>
        <w:pStyle w:val="NormalWeb"/>
      </w:pPr>
      <w:r>
        <w:t xml:space="preserve">● Better resistance to mechanical wear compared to conventional cotton </w:t>
      </w:r>
      <w:r w:rsidR="00A21A13">
        <w:t>fibre</w:t>
      </w:r>
      <w:r>
        <w:t xml:space="preserve"> packings.</w:t>
      </w:r>
    </w:p>
    <w:p w:rsidR="00515D02" w:rsidRDefault="00515D02" w:rsidP="00515D02">
      <w:pPr>
        <w:pStyle w:val="NormalWeb"/>
      </w:pPr>
      <w:r>
        <w:t>● Low friction characteristics reduce shaft and sleeve wear.</w:t>
      </w:r>
    </w:p>
    <w:p w:rsidR="00515D02" w:rsidRDefault="00515D02" w:rsidP="00515D02">
      <w:pPr>
        <w:pStyle w:val="NormalWeb"/>
      </w:pPr>
      <w:r>
        <w:t>● High-density construction improves sealing efficiency and minimizes leakage.</w:t>
      </w:r>
    </w:p>
    <w:p w:rsidR="00515D02" w:rsidRDefault="00515D02" w:rsidP="00515D02">
      <w:pPr>
        <w:pStyle w:val="NormalWeb"/>
      </w:pPr>
      <w:r>
        <w:t>● Excellent penetration and abrasion resistance for demanding applications.</w:t>
      </w:r>
    </w:p>
    <w:p w:rsidR="00515D02" w:rsidRDefault="00515D02" w:rsidP="00515D02">
      <w:pPr>
        <w:pStyle w:val="NormalWeb"/>
      </w:pPr>
      <w:r>
        <w:t xml:space="preserve">● Cost-effective alternative to synthetic </w:t>
      </w:r>
      <w:r w:rsidR="00A21A13">
        <w:t>fibre</w:t>
      </w:r>
      <w:r>
        <w:t xml:space="preserve"> packings.</w:t>
      </w:r>
    </w:p>
    <w:p w:rsidR="00515D02" w:rsidRDefault="00515D02" w:rsidP="00515D02">
      <w:pPr>
        <w:pStyle w:val="NormalWeb"/>
      </w:pPr>
      <w:r>
        <w:t>● Suitable for a variety of water handling and marine applications.</w:t>
      </w:r>
    </w:p>
    <w:p w:rsidR="00515D02" w:rsidRDefault="00A34C2F" w:rsidP="00515D02">
      <w:r>
        <w:pict>
          <v:rect id="_x0000_i1026" style="width:0;height:1.5pt" o:hralign="center" o:hrstd="t" o:hr="t" fillcolor="#a0a0a0" stroked="f"/>
        </w:pict>
      </w:r>
    </w:p>
    <w:p w:rsidR="00515D02" w:rsidRDefault="00515D02" w:rsidP="00515D02">
      <w:pPr>
        <w:pStyle w:val="Heading2"/>
      </w:pPr>
      <w:r>
        <w:t>Applications</w:t>
      </w:r>
    </w:p>
    <w:p w:rsidR="00515D02" w:rsidRDefault="00515D02" w:rsidP="00515D02">
      <w:pPr>
        <w:pStyle w:val="NormalWeb"/>
      </w:pPr>
      <w:r>
        <w:t>● Equipment handling crystallizing fluids</w:t>
      </w:r>
    </w:p>
    <w:p w:rsidR="00515D02" w:rsidRDefault="00515D02" w:rsidP="00515D02">
      <w:pPr>
        <w:pStyle w:val="NormalWeb"/>
      </w:pPr>
      <w:r>
        <w:t>● Marine stern tubes</w:t>
      </w:r>
    </w:p>
    <w:p w:rsidR="00515D02" w:rsidRDefault="00515D02" w:rsidP="00515D02">
      <w:pPr>
        <w:pStyle w:val="NormalWeb"/>
      </w:pPr>
      <w:r>
        <w:t>● Rudder posts</w:t>
      </w:r>
    </w:p>
    <w:p w:rsidR="00515D02" w:rsidRDefault="00515D02" w:rsidP="00515D02">
      <w:pPr>
        <w:pStyle w:val="NormalWeb"/>
      </w:pPr>
      <w:r>
        <w:t>● Bilge pumps</w:t>
      </w:r>
    </w:p>
    <w:p w:rsidR="00515D02" w:rsidRDefault="00515D02" w:rsidP="00515D02">
      <w:pPr>
        <w:pStyle w:val="NormalWeb"/>
      </w:pPr>
      <w:r>
        <w:t>● Water wheel glands</w:t>
      </w:r>
    </w:p>
    <w:p w:rsidR="00515D02" w:rsidRDefault="00515D02" w:rsidP="00515D02">
      <w:pPr>
        <w:pStyle w:val="NormalWeb"/>
      </w:pPr>
      <w:r>
        <w:t>● Water treatment equipment</w:t>
      </w:r>
    </w:p>
    <w:p w:rsidR="00515D02" w:rsidRDefault="00515D02" w:rsidP="00515D02">
      <w:pPr>
        <w:pStyle w:val="NormalWeb"/>
      </w:pPr>
      <w:r>
        <w:t>● General utility pumps</w:t>
      </w:r>
    </w:p>
    <w:p w:rsidR="00515D02" w:rsidRDefault="00515D02" w:rsidP="00515D02">
      <w:pPr>
        <w:pStyle w:val="NormalWeb"/>
      </w:pPr>
      <w:r>
        <w:lastRenderedPageBreak/>
        <w:t>● Industrial water handling systems</w:t>
      </w:r>
    </w:p>
    <w:p w:rsidR="00515D02" w:rsidRDefault="00A34C2F" w:rsidP="00515D02">
      <w:r>
        <w:pict>
          <v:rect id="_x0000_i1027" style="width:0;height:1.5pt" o:hralign="center" o:hrstd="t" o:hr="t" fillcolor="#a0a0a0" stroked="f"/>
        </w:pict>
      </w:r>
    </w:p>
    <w:p w:rsidR="00515D02" w:rsidRDefault="00515D02" w:rsidP="00515D02">
      <w:pPr>
        <w:pStyle w:val="Heading2"/>
      </w:pPr>
      <w:r>
        <w:t>Service Media</w:t>
      </w:r>
    </w:p>
    <w:p w:rsidR="00515D02" w:rsidRDefault="00515D02" w:rsidP="00515D02">
      <w:pPr>
        <w:pStyle w:val="NormalWeb"/>
      </w:pPr>
      <w:r>
        <w:t>● Fresh water</w:t>
      </w:r>
    </w:p>
    <w:p w:rsidR="00515D02" w:rsidRDefault="00515D02" w:rsidP="00515D02">
      <w:pPr>
        <w:pStyle w:val="NormalWeb"/>
      </w:pPr>
      <w:r>
        <w:t>● Sewage water</w:t>
      </w:r>
    </w:p>
    <w:p w:rsidR="00515D02" w:rsidRDefault="00515D02" w:rsidP="00515D02">
      <w:pPr>
        <w:pStyle w:val="NormalWeb"/>
      </w:pPr>
      <w:r>
        <w:t>● Saline water</w:t>
      </w:r>
    </w:p>
    <w:p w:rsidR="00515D02" w:rsidRDefault="00515D02" w:rsidP="00515D02">
      <w:pPr>
        <w:pStyle w:val="NormalWeb"/>
      </w:pPr>
      <w:r>
        <w:t>● Turbid water</w:t>
      </w:r>
    </w:p>
    <w:p w:rsidR="00515D02" w:rsidRDefault="00515D02" w:rsidP="00515D02">
      <w:pPr>
        <w:pStyle w:val="NormalWeb"/>
      </w:pPr>
      <w:r>
        <w:t>● Demineralized (DM) water</w:t>
      </w:r>
    </w:p>
    <w:p w:rsidR="00515D02" w:rsidRDefault="00515D02" w:rsidP="00515D02">
      <w:pPr>
        <w:pStyle w:val="NormalWeb"/>
      </w:pPr>
      <w:r>
        <w:t>● Mild aqueous solutions</w:t>
      </w:r>
    </w:p>
    <w:p w:rsidR="00515D02" w:rsidRDefault="00A34C2F" w:rsidP="00515D02">
      <w:r>
        <w:pict>
          <v:rect id="_x0000_i1028" style="width:0;height:1.5pt" o:hralign="center" o:hrstd="t" o:hr="t" fillcolor="#a0a0a0" stroked="f"/>
        </w:pict>
      </w:r>
    </w:p>
    <w:p w:rsidR="00515D02" w:rsidRDefault="00515D02" w:rsidP="00515D02">
      <w:pPr>
        <w:pStyle w:val="Heading2"/>
      </w:pPr>
      <w: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004"/>
      </w:tblGrid>
      <w:tr w:rsidR="00A34C2F" w:rsidTr="00515D02">
        <w:trPr>
          <w:tblHeader/>
          <w:tblCellSpacing w:w="15" w:type="dxa"/>
        </w:trPr>
        <w:tc>
          <w:tcPr>
            <w:tcW w:w="0" w:type="auto"/>
            <w:vAlign w:val="center"/>
            <w:hideMark/>
          </w:tcPr>
          <w:p w:rsidR="00A34C2F" w:rsidRDefault="00A34C2F">
            <w:pPr>
              <w:jc w:val="center"/>
              <w:rPr>
                <w:b/>
                <w:bCs/>
              </w:rPr>
            </w:pPr>
            <w:r>
              <w:rPr>
                <w:b/>
                <w:bCs/>
              </w:rPr>
              <w:t>Properties</w:t>
            </w:r>
          </w:p>
        </w:tc>
        <w:tc>
          <w:tcPr>
            <w:tcW w:w="0" w:type="auto"/>
            <w:vAlign w:val="center"/>
            <w:hideMark/>
          </w:tcPr>
          <w:p w:rsidR="00A34C2F" w:rsidRDefault="00A34C2F">
            <w:pPr>
              <w:jc w:val="center"/>
              <w:rPr>
                <w:b/>
                <w:bCs/>
              </w:rPr>
            </w:pPr>
            <w:r>
              <w:rPr>
                <w:b/>
                <w:bCs/>
              </w:rPr>
              <w:t>Rotating</w:t>
            </w:r>
          </w:p>
        </w:tc>
      </w:tr>
      <w:tr w:rsidR="00A34C2F" w:rsidTr="00515D02">
        <w:trPr>
          <w:tblCellSpacing w:w="15" w:type="dxa"/>
        </w:trPr>
        <w:tc>
          <w:tcPr>
            <w:tcW w:w="0" w:type="auto"/>
            <w:vAlign w:val="center"/>
            <w:hideMark/>
          </w:tcPr>
          <w:p w:rsidR="00A34C2F" w:rsidRDefault="00A34C2F">
            <w:r>
              <w:t>pH Range</w:t>
            </w:r>
          </w:p>
        </w:tc>
        <w:tc>
          <w:tcPr>
            <w:tcW w:w="0" w:type="auto"/>
            <w:vAlign w:val="center"/>
            <w:hideMark/>
          </w:tcPr>
          <w:p w:rsidR="00A34C2F" w:rsidRDefault="00A34C2F">
            <w:r>
              <w:t>6 – 11</w:t>
            </w:r>
          </w:p>
        </w:tc>
      </w:tr>
      <w:tr w:rsidR="00A34C2F" w:rsidTr="00515D02">
        <w:trPr>
          <w:tblCellSpacing w:w="15" w:type="dxa"/>
        </w:trPr>
        <w:tc>
          <w:tcPr>
            <w:tcW w:w="0" w:type="auto"/>
            <w:vAlign w:val="center"/>
            <w:hideMark/>
          </w:tcPr>
          <w:p w:rsidR="00A34C2F" w:rsidRDefault="00A34C2F">
            <w:r>
              <w:t>Temperature (°C)</w:t>
            </w:r>
          </w:p>
        </w:tc>
        <w:tc>
          <w:tcPr>
            <w:tcW w:w="0" w:type="auto"/>
            <w:vAlign w:val="center"/>
            <w:hideMark/>
          </w:tcPr>
          <w:p w:rsidR="00A34C2F" w:rsidRDefault="00A34C2F">
            <w:r>
              <w:t>-40 to +150</w:t>
            </w:r>
          </w:p>
        </w:tc>
      </w:tr>
      <w:tr w:rsidR="00A34C2F" w:rsidTr="00515D02">
        <w:trPr>
          <w:tblCellSpacing w:w="15" w:type="dxa"/>
        </w:trPr>
        <w:tc>
          <w:tcPr>
            <w:tcW w:w="0" w:type="auto"/>
            <w:vAlign w:val="center"/>
            <w:hideMark/>
          </w:tcPr>
          <w:p w:rsidR="00A34C2F" w:rsidRDefault="00A34C2F">
            <w:r>
              <w:t>Pressure (Bar)</w:t>
            </w:r>
          </w:p>
        </w:tc>
        <w:tc>
          <w:tcPr>
            <w:tcW w:w="0" w:type="auto"/>
            <w:vAlign w:val="center"/>
            <w:hideMark/>
          </w:tcPr>
          <w:p w:rsidR="00A34C2F" w:rsidRDefault="00A34C2F">
            <w:r>
              <w:t>50</w:t>
            </w:r>
          </w:p>
        </w:tc>
        <w:bookmarkStart w:id="0" w:name="_GoBack"/>
        <w:bookmarkEnd w:id="0"/>
      </w:tr>
      <w:tr w:rsidR="00A34C2F" w:rsidTr="00515D02">
        <w:trPr>
          <w:tblCellSpacing w:w="15" w:type="dxa"/>
        </w:trPr>
        <w:tc>
          <w:tcPr>
            <w:tcW w:w="0" w:type="auto"/>
            <w:vAlign w:val="center"/>
            <w:hideMark/>
          </w:tcPr>
          <w:p w:rsidR="00A34C2F" w:rsidRDefault="00A34C2F">
            <w:r>
              <w:t>Velocity (m/s)</w:t>
            </w:r>
          </w:p>
        </w:tc>
        <w:tc>
          <w:tcPr>
            <w:tcW w:w="0" w:type="auto"/>
            <w:vAlign w:val="center"/>
            <w:hideMark/>
          </w:tcPr>
          <w:p w:rsidR="00A34C2F" w:rsidRDefault="00A34C2F">
            <w:r>
              <w:t>10</w:t>
            </w:r>
          </w:p>
        </w:tc>
      </w:tr>
      <w:tr w:rsidR="00A34C2F" w:rsidTr="00515D02">
        <w:trPr>
          <w:tblCellSpacing w:w="15" w:type="dxa"/>
        </w:trPr>
        <w:tc>
          <w:tcPr>
            <w:tcW w:w="0" w:type="auto"/>
            <w:vAlign w:val="center"/>
            <w:hideMark/>
          </w:tcPr>
          <w:p w:rsidR="00A34C2F" w:rsidRDefault="00A34C2F">
            <w:r>
              <w:t>Size</w:t>
            </w:r>
          </w:p>
        </w:tc>
        <w:tc>
          <w:tcPr>
            <w:tcW w:w="0" w:type="auto"/>
            <w:vAlign w:val="center"/>
            <w:hideMark/>
          </w:tcPr>
          <w:p w:rsidR="00A34C2F" w:rsidRDefault="00A34C2F">
            <w:r>
              <w:t xml:space="preserve">3 </w:t>
            </w:r>
            <w:proofErr w:type="spellStart"/>
            <w:r>
              <w:t>sq</w:t>
            </w:r>
            <w:proofErr w:type="spellEnd"/>
            <w:r>
              <w:t xml:space="preserve"> mm to 35 </w:t>
            </w:r>
            <w:proofErr w:type="spellStart"/>
            <w:r>
              <w:t>sq</w:t>
            </w:r>
            <w:proofErr w:type="spellEnd"/>
            <w:r>
              <w:t xml:space="preserve"> mm</w:t>
            </w:r>
          </w:p>
        </w:tc>
      </w:tr>
    </w:tbl>
    <w:p w:rsidR="00515D02" w:rsidRDefault="00A34C2F" w:rsidP="00515D02">
      <w:pPr>
        <w:rPr>
          <w:sz w:val="24"/>
          <w:szCs w:val="24"/>
        </w:rPr>
      </w:pPr>
      <w:r>
        <w:pict>
          <v:rect id="_x0000_i1029" style="width:0;height:1.5pt" o:hralign="center" o:hrstd="t" o:hr="t" fillcolor="#a0a0a0" stroked="f"/>
        </w:pict>
      </w:r>
    </w:p>
    <w:p w:rsidR="00515D02" w:rsidRDefault="00515D02" w:rsidP="00515D02">
      <w:pPr>
        <w:pStyle w:val="Heading2"/>
      </w:pPr>
      <w:r>
        <w:t>Performance Benefits</w:t>
      </w:r>
    </w:p>
    <w:p w:rsidR="00515D02" w:rsidRDefault="00515D02" w:rsidP="00515D02">
      <w:pPr>
        <w:pStyle w:val="NormalWeb"/>
      </w:pPr>
      <w:r>
        <w:rPr>
          <w:rFonts w:ascii="Segoe UI Symbol" w:hAnsi="Segoe UI Symbol" w:cs="Segoe UI Symbol"/>
        </w:rPr>
        <w:t>✓</w:t>
      </w:r>
      <w:r>
        <w:t xml:space="preserve"> Superior mechanical wear resistance compared to cotton </w:t>
      </w:r>
      <w:r w:rsidR="00A21A13">
        <w:t>fibre</w:t>
      </w:r>
      <w:r>
        <w:t xml:space="preserve"> packings.</w:t>
      </w:r>
    </w:p>
    <w:p w:rsidR="00515D02" w:rsidRDefault="00515D02" w:rsidP="00515D02">
      <w:pPr>
        <w:pStyle w:val="NormalWeb"/>
      </w:pPr>
      <w:r>
        <w:rPr>
          <w:rFonts w:ascii="Segoe UI Symbol" w:hAnsi="Segoe UI Symbol" w:cs="Segoe UI Symbol"/>
        </w:rPr>
        <w:t>✓</w:t>
      </w:r>
      <w:r>
        <w:t xml:space="preserve"> Enhanced chemical resistance through PTFE dispersion impregnation.</w:t>
      </w:r>
    </w:p>
    <w:p w:rsidR="00515D02" w:rsidRDefault="00515D02" w:rsidP="00515D02">
      <w:pPr>
        <w:pStyle w:val="NormalWeb"/>
      </w:pPr>
      <w:r>
        <w:rPr>
          <w:rFonts w:ascii="Segoe UI Symbol" w:hAnsi="Segoe UI Symbol" w:cs="Segoe UI Symbol"/>
        </w:rPr>
        <w:t>✓</w:t>
      </w:r>
      <w:r>
        <w:t xml:space="preserve"> Low friction operation reduces shaft wear and power consumption.</w:t>
      </w:r>
    </w:p>
    <w:p w:rsidR="00515D02" w:rsidRDefault="00515D02" w:rsidP="00515D02">
      <w:pPr>
        <w:pStyle w:val="NormalWeb"/>
      </w:pPr>
      <w:r>
        <w:rPr>
          <w:rFonts w:ascii="Segoe UI Symbol" w:hAnsi="Segoe UI Symbol" w:cs="Segoe UI Symbol"/>
        </w:rPr>
        <w:t>✓</w:t>
      </w:r>
      <w:r>
        <w:t xml:space="preserve"> Dense construction improves sealing performance and leakage control.</w:t>
      </w:r>
    </w:p>
    <w:p w:rsidR="00515D02" w:rsidRDefault="00515D02" w:rsidP="00515D02">
      <w:pPr>
        <w:pStyle w:val="NormalWeb"/>
      </w:pPr>
      <w:r>
        <w:rPr>
          <w:rFonts w:ascii="Segoe UI Symbol" w:hAnsi="Segoe UI Symbol" w:cs="Segoe UI Symbol"/>
        </w:rPr>
        <w:t>✓</w:t>
      </w:r>
      <w:r>
        <w:t xml:space="preserve"> Excellent abrasion resistance for extended service life.</w:t>
      </w:r>
    </w:p>
    <w:p w:rsidR="00515D02" w:rsidRDefault="00515D02" w:rsidP="00515D02">
      <w:pPr>
        <w:pStyle w:val="NormalWeb"/>
      </w:pPr>
      <w:r>
        <w:rPr>
          <w:rFonts w:ascii="Segoe UI Symbol" w:hAnsi="Segoe UI Symbol" w:cs="Segoe UI Symbol"/>
        </w:rPr>
        <w:t>✓</w:t>
      </w:r>
      <w:r>
        <w:t xml:space="preserve"> Reliable performance in marine and water service applications.</w:t>
      </w:r>
    </w:p>
    <w:p w:rsidR="00515D02" w:rsidRDefault="00515D02" w:rsidP="00515D02">
      <w:pPr>
        <w:pStyle w:val="NormalWeb"/>
      </w:pPr>
      <w:r>
        <w:rPr>
          <w:rFonts w:ascii="Segoe UI Symbol" w:hAnsi="Segoe UI Symbol" w:cs="Segoe UI Symbol"/>
        </w:rPr>
        <w:t>✓</w:t>
      </w:r>
      <w:r>
        <w:t xml:space="preserve"> Economical replacement for synthetic packings.</w:t>
      </w:r>
    </w:p>
    <w:p w:rsidR="00515D02" w:rsidRDefault="00515D02" w:rsidP="00515D02">
      <w:pPr>
        <w:pStyle w:val="NormalWeb"/>
      </w:pPr>
      <w:r>
        <w:rPr>
          <w:rFonts w:ascii="Segoe UI Symbol" w:hAnsi="Segoe UI Symbol" w:cs="Segoe UI Symbol"/>
        </w:rPr>
        <w:t>✓</w:t>
      </w:r>
      <w:r>
        <w:t xml:space="preserve"> Easy installation and maintenance.</w:t>
      </w:r>
    </w:p>
    <w:p w:rsidR="00515D02" w:rsidRDefault="00515D02" w:rsidP="00515D02">
      <w:pPr>
        <w:pStyle w:val="NormalWeb"/>
      </w:pPr>
      <w:r>
        <w:rPr>
          <w:rFonts w:ascii="Segoe UI Symbol" w:hAnsi="Segoe UI Symbol" w:cs="Segoe UI Symbol"/>
        </w:rPr>
        <w:t>✓</w:t>
      </w:r>
      <w:r>
        <w:t xml:space="preserve"> Long-lasting sealing performance in demanding operating environments.</w:t>
      </w:r>
    </w:p>
    <w:p w:rsidR="00515D02" w:rsidRDefault="00A34C2F" w:rsidP="00515D02">
      <w:r>
        <w:lastRenderedPageBreak/>
        <w:pict>
          <v:rect id="_x0000_i1030" style="width:0;height:1.5pt" o:hralign="center" o:hrstd="t" o:hr="t" fillcolor="#a0a0a0" stroked="f"/>
        </w:pict>
      </w:r>
    </w:p>
    <w:p w:rsidR="00515D02" w:rsidRDefault="00515D02" w:rsidP="00515D02">
      <w:pPr>
        <w:pStyle w:val="NormalWeb"/>
      </w:pPr>
      <w:r>
        <w:rPr>
          <w:rStyle w:val="Strong"/>
        </w:rPr>
        <w:t>Note:</w:t>
      </w:r>
      <w:r>
        <w:t xml:space="preserve"> OR 120 is specifically designed for water-based and marine applications where durability, abrasion resistance, and cost-effective sealing performance are essential.</w:t>
      </w:r>
    </w:p>
    <w:p w:rsidR="00757956" w:rsidRPr="00515D02" w:rsidRDefault="00757956" w:rsidP="00515D02"/>
    <w:sectPr w:rsidR="00757956" w:rsidRPr="00515D02"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F NS">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1F1F91"/>
    <w:multiLevelType w:val="multilevel"/>
    <w:tmpl w:val="7E0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D32C8"/>
    <w:rsid w:val="001B5CE9"/>
    <w:rsid w:val="001E6D4E"/>
    <w:rsid w:val="00263B36"/>
    <w:rsid w:val="0031453C"/>
    <w:rsid w:val="00325FF2"/>
    <w:rsid w:val="004305FF"/>
    <w:rsid w:val="004E43B0"/>
    <w:rsid w:val="00515D02"/>
    <w:rsid w:val="00551EF7"/>
    <w:rsid w:val="0057227B"/>
    <w:rsid w:val="005D5204"/>
    <w:rsid w:val="005E49A6"/>
    <w:rsid w:val="006A012D"/>
    <w:rsid w:val="00757956"/>
    <w:rsid w:val="007D6B72"/>
    <w:rsid w:val="0088568B"/>
    <w:rsid w:val="00897E28"/>
    <w:rsid w:val="008C1F99"/>
    <w:rsid w:val="00904608"/>
    <w:rsid w:val="009F4CC1"/>
    <w:rsid w:val="00A21A13"/>
    <w:rsid w:val="00A34C2F"/>
    <w:rsid w:val="00B05526"/>
    <w:rsid w:val="00BA35C6"/>
    <w:rsid w:val="00BD7E92"/>
    <w:rsid w:val="00C609C6"/>
    <w:rsid w:val="00CA53CA"/>
    <w:rsid w:val="00D1543F"/>
    <w:rsid w:val="00DD1795"/>
    <w:rsid w:val="00E024F6"/>
    <w:rsid w:val="00E5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C15B"/>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BD7E92"/>
    <w:pPr>
      <w:autoSpaceDE w:val="0"/>
      <w:autoSpaceDN w:val="0"/>
      <w:adjustRightInd w:val="0"/>
      <w:spacing w:after="0" w:line="240" w:lineRule="auto"/>
    </w:pPr>
    <w:rPr>
      <w:rFonts w:ascii=".SF NS" w:hAnsi=".SF NS" w:cs=".SF 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24135">
      <w:bodyDiv w:val="1"/>
      <w:marLeft w:val="0"/>
      <w:marRight w:val="0"/>
      <w:marTop w:val="0"/>
      <w:marBottom w:val="0"/>
      <w:divBdr>
        <w:top w:val="none" w:sz="0" w:space="0" w:color="auto"/>
        <w:left w:val="none" w:sz="0" w:space="0" w:color="auto"/>
        <w:bottom w:val="none" w:sz="0" w:space="0" w:color="auto"/>
        <w:right w:val="none" w:sz="0" w:space="0" w:color="auto"/>
      </w:divBdr>
      <w:divsChild>
        <w:div w:id="1530029894">
          <w:marLeft w:val="0"/>
          <w:marRight w:val="0"/>
          <w:marTop w:val="0"/>
          <w:marBottom w:val="0"/>
          <w:divBdr>
            <w:top w:val="none" w:sz="0" w:space="0" w:color="auto"/>
            <w:left w:val="none" w:sz="0" w:space="0" w:color="auto"/>
            <w:bottom w:val="none" w:sz="0" w:space="0" w:color="auto"/>
            <w:right w:val="none" w:sz="0" w:space="0" w:color="auto"/>
          </w:divBdr>
          <w:divsChild>
            <w:div w:id="20723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7704">
      <w:bodyDiv w:val="1"/>
      <w:marLeft w:val="0"/>
      <w:marRight w:val="0"/>
      <w:marTop w:val="0"/>
      <w:marBottom w:val="0"/>
      <w:divBdr>
        <w:top w:val="none" w:sz="0" w:space="0" w:color="auto"/>
        <w:left w:val="none" w:sz="0" w:space="0" w:color="auto"/>
        <w:bottom w:val="none" w:sz="0" w:space="0" w:color="auto"/>
        <w:right w:val="none" w:sz="0" w:space="0" w:color="auto"/>
      </w:divBdr>
      <w:divsChild>
        <w:div w:id="1159809283">
          <w:marLeft w:val="0"/>
          <w:marRight w:val="0"/>
          <w:marTop w:val="0"/>
          <w:marBottom w:val="0"/>
          <w:divBdr>
            <w:top w:val="none" w:sz="0" w:space="0" w:color="auto"/>
            <w:left w:val="none" w:sz="0" w:space="0" w:color="auto"/>
            <w:bottom w:val="none" w:sz="0" w:space="0" w:color="auto"/>
            <w:right w:val="none" w:sz="0" w:space="0" w:color="auto"/>
          </w:divBdr>
          <w:divsChild>
            <w:div w:id="11620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7615">
      <w:bodyDiv w:val="1"/>
      <w:marLeft w:val="0"/>
      <w:marRight w:val="0"/>
      <w:marTop w:val="0"/>
      <w:marBottom w:val="0"/>
      <w:divBdr>
        <w:top w:val="none" w:sz="0" w:space="0" w:color="auto"/>
        <w:left w:val="none" w:sz="0" w:space="0" w:color="auto"/>
        <w:bottom w:val="none" w:sz="0" w:space="0" w:color="auto"/>
        <w:right w:val="none" w:sz="0" w:space="0" w:color="auto"/>
      </w:divBdr>
      <w:divsChild>
        <w:div w:id="1079519615">
          <w:marLeft w:val="0"/>
          <w:marRight w:val="0"/>
          <w:marTop w:val="0"/>
          <w:marBottom w:val="0"/>
          <w:divBdr>
            <w:top w:val="none" w:sz="0" w:space="0" w:color="auto"/>
            <w:left w:val="none" w:sz="0" w:space="0" w:color="auto"/>
            <w:bottom w:val="none" w:sz="0" w:space="0" w:color="auto"/>
            <w:right w:val="none" w:sz="0" w:space="0" w:color="auto"/>
          </w:divBdr>
          <w:divsChild>
            <w:div w:id="6878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3305">
      <w:bodyDiv w:val="1"/>
      <w:marLeft w:val="0"/>
      <w:marRight w:val="0"/>
      <w:marTop w:val="0"/>
      <w:marBottom w:val="0"/>
      <w:divBdr>
        <w:top w:val="none" w:sz="0" w:space="0" w:color="auto"/>
        <w:left w:val="none" w:sz="0" w:space="0" w:color="auto"/>
        <w:bottom w:val="none" w:sz="0" w:space="0" w:color="auto"/>
        <w:right w:val="none" w:sz="0" w:space="0" w:color="auto"/>
      </w:divBdr>
      <w:divsChild>
        <w:div w:id="2006518652">
          <w:marLeft w:val="0"/>
          <w:marRight w:val="0"/>
          <w:marTop w:val="0"/>
          <w:marBottom w:val="0"/>
          <w:divBdr>
            <w:top w:val="none" w:sz="0" w:space="0" w:color="auto"/>
            <w:left w:val="none" w:sz="0" w:space="0" w:color="auto"/>
            <w:bottom w:val="none" w:sz="0" w:space="0" w:color="auto"/>
            <w:right w:val="none" w:sz="0" w:space="0" w:color="auto"/>
          </w:divBdr>
          <w:divsChild>
            <w:div w:id="1800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569383304">
      <w:bodyDiv w:val="1"/>
      <w:marLeft w:val="0"/>
      <w:marRight w:val="0"/>
      <w:marTop w:val="0"/>
      <w:marBottom w:val="0"/>
      <w:divBdr>
        <w:top w:val="none" w:sz="0" w:space="0" w:color="auto"/>
        <w:left w:val="none" w:sz="0" w:space="0" w:color="auto"/>
        <w:bottom w:val="none" w:sz="0" w:space="0" w:color="auto"/>
        <w:right w:val="none" w:sz="0" w:space="0" w:color="auto"/>
      </w:divBdr>
      <w:divsChild>
        <w:div w:id="505484484">
          <w:marLeft w:val="0"/>
          <w:marRight w:val="0"/>
          <w:marTop w:val="0"/>
          <w:marBottom w:val="0"/>
          <w:divBdr>
            <w:top w:val="none" w:sz="0" w:space="0" w:color="auto"/>
            <w:left w:val="none" w:sz="0" w:space="0" w:color="auto"/>
            <w:bottom w:val="none" w:sz="0" w:space="0" w:color="auto"/>
            <w:right w:val="none" w:sz="0" w:space="0" w:color="auto"/>
          </w:divBdr>
          <w:divsChild>
            <w:div w:id="20282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149901877">
      <w:bodyDiv w:val="1"/>
      <w:marLeft w:val="0"/>
      <w:marRight w:val="0"/>
      <w:marTop w:val="0"/>
      <w:marBottom w:val="0"/>
      <w:divBdr>
        <w:top w:val="none" w:sz="0" w:space="0" w:color="auto"/>
        <w:left w:val="none" w:sz="0" w:space="0" w:color="auto"/>
        <w:bottom w:val="none" w:sz="0" w:space="0" w:color="auto"/>
        <w:right w:val="none" w:sz="0" w:space="0" w:color="auto"/>
      </w:divBdr>
      <w:divsChild>
        <w:div w:id="559902986">
          <w:marLeft w:val="0"/>
          <w:marRight w:val="0"/>
          <w:marTop w:val="0"/>
          <w:marBottom w:val="0"/>
          <w:divBdr>
            <w:top w:val="none" w:sz="0" w:space="0" w:color="auto"/>
            <w:left w:val="none" w:sz="0" w:space="0" w:color="auto"/>
            <w:bottom w:val="none" w:sz="0" w:space="0" w:color="auto"/>
            <w:right w:val="none" w:sz="0" w:space="0" w:color="auto"/>
          </w:divBdr>
          <w:divsChild>
            <w:div w:id="9036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9785">
      <w:bodyDiv w:val="1"/>
      <w:marLeft w:val="0"/>
      <w:marRight w:val="0"/>
      <w:marTop w:val="0"/>
      <w:marBottom w:val="0"/>
      <w:divBdr>
        <w:top w:val="none" w:sz="0" w:space="0" w:color="auto"/>
        <w:left w:val="none" w:sz="0" w:space="0" w:color="auto"/>
        <w:bottom w:val="none" w:sz="0" w:space="0" w:color="auto"/>
        <w:right w:val="none" w:sz="0" w:space="0" w:color="auto"/>
      </w:divBdr>
      <w:divsChild>
        <w:div w:id="1521550879">
          <w:marLeft w:val="0"/>
          <w:marRight w:val="0"/>
          <w:marTop w:val="0"/>
          <w:marBottom w:val="0"/>
          <w:divBdr>
            <w:top w:val="none" w:sz="0" w:space="0" w:color="auto"/>
            <w:left w:val="none" w:sz="0" w:space="0" w:color="auto"/>
            <w:bottom w:val="none" w:sz="0" w:space="0" w:color="auto"/>
            <w:right w:val="none" w:sz="0" w:space="0" w:color="auto"/>
          </w:divBdr>
          <w:divsChild>
            <w:div w:id="863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779444588">
      <w:bodyDiv w:val="1"/>
      <w:marLeft w:val="0"/>
      <w:marRight w:val="0"/>
      <w:marTop w:val="0"/>
      <w:marBottom w:val="0"/>
      <w:divBdr>
        <w:top w:val="none" w:sz="0" w:space="0" w:color="auto"/>
        <w:left w:val="none" w:sz="0" w:space="0" w:color="auto"/>
        <w:bottom w:val="none" w:sz="0" w:space="0" w:color="auto"/>
        <w:right w:val="none" w:sz="0" w:space="0" w:color="auto"/>
      </w:divBdr>
      <w:divsChild>
        <w:div w:id="2057192861">
          <w:marLeft w:val="0"/>
          <w:marRight w:val="0"/>
          <w:marTop w:val="0"/>
          <w:marBottom w:val="0"/>
          <w:divBdr>
            <w:top w:val="none" w:sz="0" w:space="0" w:color="auto"/>
            <w:left w:val="none" w:sz="0" w:space="0" w:color="auto"/>
            <w:bottom w:val="none" w:sz="0" w:space="0" w:color="auto"/>
            <w:right w:val="none" w:sz="0" w:space="0" w:color="auto"/>
          </w:divBdr>
          <w:divsChild>
            <w:div w:id="1794056631">
              <w:marLeft w:val="0"/>
              <w:marRight w:val="0"/>
              <w:marTop w:val="0"/>
              <w:marBottom w:val="0"/>
              <w:divBdr>
                <w:top w:val="none" w:sz="0" w:space="0" w:color="auto"/>
                <w:left w:val="none" w:sz="0" w:space="0" w:color="auto"/>
                <w:bottom w:val="none" w:sz="0" w:space="0" w:color="auto"/>
                <w:right w:val="none" w:sz="0" w:space="0" w:color="auto"/>
              </w:divBdr>
            </w:div>
          </w:divsChild>
        </w:div>
        <w:div w:id="1046904473">
          <w:marLeft w:val="0"/>
          <w:marRight w:val="0"/>
          <w:marTop w:val="0"/>
          <w:marBottom w:val="0"/>
          <w:divBdr>
            <w:top w:val="none" w:sz="0" w:space="0" w:color="auto"/>
            <w:left w:val="none" w:sz="0" w:space="0" w:color="auto"/>
            <w:bottom w:val="none" w:sz="0" w:space="0" w:color="auto"/>
            <w:right w:val="none" w:sz="0" w:space="0" w:color="auto"/>
          </w:divBdr>
          <w:divsChild>
            <w:div w:id="4189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36">
      <w:bodyDiv w:val="1"/>
      <w:marLeft w:val="0"/>
      <w:marRight w:val="0"/>
      <w:marTop w:val="0"/>
      <w:marBottom w:val="0"/>
      <w:divBdr>
        <w:top w:val="none" w:sz="0" w:space="0" w:color="auto"/>
        <w:left w:val="none" w:sz="0" w:space="0" w:color="auto"/>
        <w:bottom w:val="none" w:sz="0" w:space="0" w:color="auto"/>
        <w:right w:val="none" w:sz="0" w:space="0" w:color="auto"/>
      </w:divBdr>
      <w:divsChild>
        <w:div w:id="514996549">
          <w:marLeft w:val="0"/>
          <w:marRight w:val="0"/>
          <w:marTop w:val="0"/>
          <w:marBottom w:val="0"/>
          <w:divBdr>
            <w:top w:val="none" w:sz="0" w:space="0" w:color="auto"/>
            <w:left w:val="none" w:sz="0" w:space="0" w:color="auto"/>
            <w:bottom w:val="none" w:sz="0" w:space="0" w:color="auto"/>
            <w:right w:val="none" w:sz="0" w:space="0" w:color="auto"/>
          </w:divBdr>
          <w:divsChild>
            <w:div w:id="1825470513">
              <w:marLeft w:val="0"/>
              <w:marRight w:val="0"/>
              <w:marTop w:val="0"/>
              <w:marBottom w:val="0"/>
              <w:divBdr>
                <w:top w:val="none" w:sz="0" w:space="0" w:color="auto"/>
                <w:left w:val="none" w:sz="0" w:space="0" w:color="auto"/>
                <w:bottom w:val="none" w:sz="0" w:space="0" w:color="auto"/>
                <w:right w:val="none" w:sz="0" w:space="0" w:color="auto"/>
              </w:divBdr>
            </w:div>
          </w:divsChild>
        </w:div>
        <w:div w:id="10231997">
          <w:marLeft w:val="0"/>
          <w:marRight w:val="0"/>
          <w:marTop w:val="0"/>
          <w:marBottom w:val="0"/>
          <w:divBdr>
            <w:top w:val="none" w:sz="0" w:space="0" w:color="auto"/>
            <w:left w:val="none" w:sz="0" w:space="0" w:color="auto"/>
            <w:bottom w:val="none" w:sz="0" w:space="0" w:color="auto"/>
            <w:right w:val="none" w:sz="0" w:space="0" w:color="auto"/>
          </w:divBdr>
          <w:divsChild>
            <w:div w:id="16970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 w:id="2053724224">
      <w:bodyDiv w:val="1"/>
      <w:marLeft w:val="0"/>
      <w:marRight w:val="0"/>
      <w:marTop w:val="0"/>
      <w:marBottom w:val="0"/>
      <w:divBdr>
        <w:top w:val="none" w:sz="0" w:space="0" w:color="auto"/>
        <w:left w:val="none" w:sz="0" w:space="0" w:color="auto"/>
        <w:bottom w:val="none" w:sz="0" w:space="0" w:color="auto"/>
        <w:right w:val="none" w:sz="0" w:space="0" w:color="auto"/>
      </w:divBdr>
      <w:divsChild>
        <w:div w:id="1598444070">
          <w:marLeft w:val="0"/>
          <w:marRight w:val="0"/>
          <w:marTop w:val="0"/>
          <w:marBottom w:val="0"/>
          <w:divBdr>
            <w:top w:val="none" w:sz="0" w:space="0" w:color="auto"/>
            <w:left w:val="none" w:sz="0" w:space="0" w:color="auto"/>
            <w:bottom w:val="none" w:sz="0" w:space="0" w:color="auto"/>
            <w:right w:val="none" w:sz="0" w:space="0" w:color="auto"/>
          </w:divBdr>
          <w:divsChild>
            <w:div w:id="1934700863">
              <w:marLeft w:val="0"/>
              <w:marRight w:val="0"/>
              <w:marTop w:val="0"/>
              <w:marBottom w:val="0"/>
              <w:divBdr>
                <w:top w:val="none" w:sz="0" w:space="0" w:color="auto"/>
                <w:left w:val="none" w:sz="0" w:space="0" w:color="auto"/>
                <w:bottom w:val="none" w:sz="0" w:space="0" w:color="auto"/>
                <w:right w:val="none" w:sz="0" w:space="0" w:color="auto"/>
              </w:divBdr>
            </w:div>
          </w:divsChild>
        </w:div>
        <w:div w:id="1921519233">
          <w:marLeft w:val="0"/>
          <w:marRight w:val="0"/>
          <w:marTop w:val="0"/>
          <w:marBottom w:val="0"/>
          <w:divBdr>
            <w:top w:val="none" w:sz="0" w:space="0" w:color="auto"/>
            <w:left w:val="none" w:sz="0" w:space="0" w:color="auto"/>
            <w:bottom w:val="none" w:sz="0" w:space="0" w:color="auto"/>
            <w:right w:val="none" w:sz="0" w:space="0" w:color="auto"/>
          </w:divBdr>
          <w:divsChild>
            <w:div w:id="4675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2026-06-08T08:17:00Z</dcterms:created>
  <dcterms:modified xsi:type="dcterms:W3CDTF">2026-06-08T09:45:00Z</dcterms:modified>
</cp:coreProperties>
</file>