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4353" w:rsidRDefault="00C34353" w:rsidP="00C34353">
      <w:pPr>
        <w:pStyle w:val="Heading1"/>
      </w:pPr>
      <w:r>
        <w:t>PE 504</w:t>
      </w:r>
    </w:p>
    <w:p w:rsidR="00C34353" w:rsidRDefault="00C34353" w:rsidP="00C34353">
      <w:pPr>
        <w:pStyle w:val="Heading2"/>
      </w:pPr>
      <w:r>
        <w:t>High-Performance Packing for Industrial Service</w:t>
      </w:r>
    </w:p>
    <w:p w:rsidR="00C34353" w:rsidRDefault="00C34353" w:rsidP="00C34353">
      <w:pPr>
        <w:pStyle w:val="NormalWeb"/>
      </w:pPr>
      <w:r>
        <w:rPr>
          <w:rStyle w:val="Strong"/>
        </w:rPr>
        <w:t>Style PE 504</w:t>
      </w:r>
      <w:r>
        <w:t xml:space="preserve"> is manufactured from expanded PTFE with graphite, molecularly bonded to provide enhanced sealing performance. The unique combination delivers excellent chemical resistance, superior heat dissipation, and high resilience, resulting in extended service life and reliable operation in demanding industrial environments.</w:t>
      </w:r>
    </w:p>
    <w:p w:rsidR="00C34353" w:rsidRDefault="00C34353" w:rsidP="00C34353">
      <w:pPr>
        <w:pStyle w:val="NormalWeb"/>
      </w:pPr>
      <w:r>
        <w:t>Its low-friction characteristics help minimize wear and erosion on shafts and sleeves while maintaining dimensional stability under varying operating conditions. Requiring minimal gland pressure, PE 504 performs efficiently at high speeds with low leakage rates. It is compatible with a wide range of industrial media, except strong oxidizers, molten alkali metals, and fluorine compounds.</w:t>
      </w:r>
    </w:p>
    <w:p w:rsidR="00C34353" w:rsidRDefault="00C34353" w:rsidP="00C34353">
      <w:pPr>
        <w:pStyle w:val="NormalWeb"/>
      </w:pPr>
      <w:r>
        <w:t>The packing is ideally suited for pumps, valves, reactors, agitators, and other rotating equipment where dependable sealing and long-term reliability are required.</w:t>
      </w:r>
    </w:p>
    <w:p w:rsidR="00C34353" w:rsidRDefault="00E24897" w:rsidP="00C34353">
      <w:r>
        <w:pict>
          <v:rect id="_x0000_i1025" style="width:0;height:1.5pt" o:hralign="center" o:hrstd="t" o:hr="t" fillcolor="#a0a0a0" stroked="f"/>
        </w:pict>
      </w:r>
    </w:p>
    <w:p w:rsidR="00C34353" w:rsidRDefault="00C34353" w:rsidP="00C34353">
      <w:pPr>
        <w:pStyle w:val="Heading2"/>
      </w:pPr>
      <w:r>
        <w:t>Key Features</w:t>
      </w:r>
    </w:p>
    <w:p w:rsidR="00C34353" w:rsidRDefault="00C34353" w:rsidP="00C34353">
      <w:pPr>
        <w:pStyle w:val="NormalWeb"/>
      </w:pPr>
      <w:r>
        <w:t>● Manufactured from expanded PTFE with graphite, molecularly bonded for enhanced performance.</w:t>
      </w:r>
    </w:p>
    <w:p w:rsidR="00C34353" w:rsidRDefault="00C34353" w:rsidP="00C34353">
      <w:pPr>
        <w:pStyle w:val="NormalWeb"/>
      </w:pPr>
      <w:r>
        <w:t>● Excellent chemical resistance across a broad range of industrial media.</w:t>
      </w:r>
    </w:p>
    <w:p w:rsidR="00C34353" w:rsidRDefault="00C34353" w:rsidP="00C34353">
      <w:pPr>
        <w:pStyle w:val="NormalWeb"/>
      </w:pPr>
      <w:r>
        <w:t>● Superior heat dissipation helps maintain cooler operating temperatures.</w:t>
      </w:r>
    </w:p>
    <w:p w:rsidR="00C34353" w:rsidRDefault="00C34353" w:rsidP="00C34353">
      <w:pPr>
        <w:pStyle w:val="NormalWeb"/>
      </w:pPr>
      <w:r>
        <w:t>● Low-friction construction minimizes shaft and sleeve wear.</w:t>
      </w:r>
    </w:p>
    <w:p w:rsidR="00C34353" w:rsidRDefault="00C34353" w:rsidP="00C34353">
      <w:pPr>
        <w:pStyle w:val="NormalWeb"/>
      </w:pPr>
      <w:r>
        <w:t>● High resilience and dimensional stability ensure long-term sealing reliability.</w:t>
      </w:r>
    </w:p>
    <w:p w:rsidR="00C34353" w:rsidRDefault="00C34353" w:rsidP="00C34353">
      <w:pPr>
        <w:pStyle w:val="NormalWeb"/>
      </w:pPr>
      <w:r>
        <w:t>● Requires minimal gland pressure for effective sealing.</w:t>
      </w:r>
    </w:p>
    <w:p w:rsidR="00C34353" w:rsidRDefault="00C34353" w:rsidP="00C34353">
      <w:pPr>
        <w:pStyle w:val="NormalWeb"/>
      </w:pPr>
      <w:r>
        <w:t>● Performs efficiently in high-speed applications with low leakage.</w:t>
      </w:r>
    </w:p>
    <w:p w:rsidR="00C34353" w:rsidRDefault="00C34353" w:rsidP="00C34353">
      <w:pPr>
        <w:pStyle w:val="NormalWeb"/>
      </w:pPr>
      <w:r>
        <w:t>● Suitable for dynamic and static sealing applications.</w:t>
      </w:r>
    </w:p>
    <w:p w:rsidR="00C34353" w:rsidRDefault="00C34353" w:rsidP="00C34353">
      <w:pPr>
        <w:pStyle w:val="NormalWeb"/>
      </w:pPr>
      <w:r>
        <w:t xml:space="preserve">● Tested and qualified as per </w:t>
      </w:r>
      <w:r>
        <w:rPr>
          <w:rStyle w:val="Strong"/>
        </w:rPr>
        <w:t>EN 16752 (Centrifugal Pumps – Test Procedure for Seal Packing), Tightness Class T1</w:t>
      </w:r>
      <w:r>
        <w:t>.</w:t>
      </w:r>
    </w:p>
    <w:p w:rsidR="00C34353" w:rsidRDefault="00E24897" w:rsidP="00C34353">
      <w:r>
        <w:pict>
          <v:rect id="_x0000_i1026" style="width:0;height:1.5pt" o:hralign="center" o:hrstd="t" o:hr="t" fillcolor="#a0a0a0" stroked="f"/>
        </w:pict>
      </w:r>
    </w:p>
    <w:p w:rsidR="00C34353" w:rsidRDefault="00C34353" w:rsidP="00C34353">
      <w:pPr>
        <w:pStyle w:val="Heading2"/>
      </w:pPr>
      <w:r>
        <w:t>Applications</w:t>
      </w:r>
    </w:p>
    <w:p w:rsidR="00C34353" w:rsidRDefault="00C34353" w:rsidP="00C34353">
      <w:pPr>
        <w:pStyle w:val="NormalWeb"/>
      </w:pPr>
      <w:r>
        <w:t>● Centrifugal pumps</w:t>
      </w:r>
    </w:p>
    <w:p w:rsidR="00C34353" w:rsidRDefault="00C34353" w:rsidP="00C34353">
      <w:pPr>
        <w:pStyle w:val="NormalWeb"/>
      </w:pPr>
      <w:r>
        <w:t>● Rotary pumps</w:t>
      </w:r>
    </w:p>
    <w:p w:rsidR="00C34353" w:rsidRDefault="00C34353" w:rsidP="00C34353">
      <w:pPr>
        <w:pStyle w:val="NormalWeb"/>
      </w:pPr>
      <w:r>
        <w:t>● Agitators</w:t>
      </w:r>
    </w:p>
    <w:p w:rsidR="00C34353" w:rsidRDefault="00C34353" w:rsidP="00C34353">
      <w:pPr>
        <w:pStyle w:val="NormalWeb"/>
      </w:pPr>
      <w:r>
        <w:t>● Mixers</w:t>
      </w:r>
    </w:p>
    <w:p w:rsidR="00C34353" w:rsidRDefault="00C34353" w:rsidP="00C34353">
      <w:pPr>
        <w:pStyle w:val="NormalWeb"/>
      </w:pPr>
      <w:r>
        <w:t>● Reactors</w:t>
      </w:r>
    </w:p>
    <w:p w:rsidR="00C34353" w:rsidRDefault="00C34353" w:rsidP="00C34353">
      <w:pPr>
        <w:pStyle w:val="NormalWeb"/>
      </w:pPr>
      <w:r>
        <w:lastRenderedPageBreak/>
        <w:t>● Process equipment</w:t>
      </w:r>
    </w:p>
    <w:p w:rsidR="00C34353" w:rsidRDefault="00C34353" w:rsidP="00C34353">
      <w:pPr>
        <w:pStyle w:val="NormalWeb"/>
      </w:pPr>
      <w:r>
        <w:t>● High-speed rotary systems</w:t>
      </w:r>
    </w:p>
    <w:p w:rsidR="00C34353" w:rsidRDefault="00C34353" w:rsidP="00C34353">
      <w:pPr>
        <w:pStyle w:val="NormalWeb"/>
      </w:pPr>
      <w:r>
        <w:t>● Chemical processing industries</w:t>
      </w:r>
    </w:p>
    <w:p w:rsidR="00C34353" w:rsidRDefault="00C34353" w:rsidP="00C34353">
      <w:pPr>
        <w:pStyle w:val="NormalWeb"/>
      </w:pPr>
      <w:r>
        <w:t>● General industrial sealing applications</w:t>
      </w:r>
    </w:p>
    <w:p w:rsidR="00C34353" w:rsidRDefault="00E24897" w:rsidP="00C34353">
      <w:r>
        <w:pict>
          <v:rect id="_x0000_i1027" style="width:0;height:1.5pt" o:hralign="center" o:hrstd="t" o:hr="t" fillcolor="#a0a0a0" stroked="f"/>
        </w:pict>
      </w:r>
    </w:p>
    <w:p w:rsidR="00C34353" w:rsidRDefault="00C34353" w:rsidP="00C34353">
      <w:pPr>
        <w:pStyle w:val="Heading2"/>
      </w:pPr>
      <w:r>
        <w:t>Technical Specifications</w:t>
      </w:r>
    </w:p>
    <w:p w:rsidR="00C34353" w:rsidRDefault="00C34353" w:rsidP="00C34353">
      <w:pPr>
        <w:pStyle w:val="Heading3"/>
      </w:pPr>
      <w:r>
        <w:t>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2009"/>
        <w:gridCol w:w="1344"/>
      </w:tblGrid>
      <w:tr w:rsidR="00EF6F5A" w:rsidTr="00C34353">
        <w:trPr>
          <w:tblHeader/>
          <w:tblCellSpacing w:w="15" w:type="dxa"/>
        </w:trPr>
        <w:tc>
          <w:tcPr>
            <w:tcW w:w="0" w:type="auto"/>
            <w:vAlign w:val="center"/>
            <w:hideMark/>
          </w:tcPr>
          <w:p w:rsidR="00EF6F5A" w:rsidRDefault="00EF6F5A">
            <w:pPr>
              <w:jc w:val="center"/>
              <w:rPr>
                <w:b/>
                <w:bCs/>
              </w:rPr>
            </w:pPr>
            <w:r>
              <w:rPr>
                <w:b/>
                <w:bCs/>
              </w:rPr>
              <w:t>Properties</w:t>
            </w:r>
          </w:p>
        </w:tc>
        <w:tc>
          <w:tcPr>
            <w:tcW w:w="0" w:type="auto"/>
            <w:vAlign w:val="center"/>
            <w:hideMark/>
          </w:tcPr>
          <w:p w:rsidR="00EF6F5A" w:rsidRDefault="00EF6F5A">
            <w:pPr>
              <w:jc w:val="center"/>
              <w:rPr>
                <w:b/>
                <w:bCs/>
              </w:rPr>
            </w:pPr>
            <w:r>
              <w:rPr>
                <w:b/>
                <w:bCs/>
              </w:rPr>
              <w:t>Rotating</w:t>
            </w:r>
          </w:p>
        </w:tc>
        <w:tc>
          <w:tcPr>
            <w:tcW w:w="0" w:type="auto"/>
            <w:vAlign w:val="center"/>
            <w:hideMark/>
          </w:tcPr>
          <w:p w:rsidR="00EF6F5A" w:rsidRDefault="00EF6F5A">
            <w:pPr>
              <w:jc w:val="center"/>
              <w:rPr>
                <w:b/>
                <w:bCs/>
              </w:rPr>
            </w:pPr>
            <w:r>
              <w:rPr>
                <w:b/>
                <w:bCs/>
              </w:rPr>
              <w:t>Reciprocating</w:t>
            </w:r>
          </w:p>
        </w:tc>
      </w:tr>
      <w:tr w:rsidR="00EF6F5A" w:rsidTr="00C34353">
        <w:trPr>
          <w:tblCellSpacing w:w="15" w:type="dxa"/>
        </w:trPr>
        <w:tc>
          <w:tcPr>
            <w:tcW w:w="0" w:type="auto"/>
            <w:vAlign w:val="center"/>
            <w:hideMark/>
          </w:tcPr>
          <w:p w:rsidR="00EF6F5A" w:rsidRDefault="00EF6F5A">
            <w:r>
              <w:t>pH Range</w:t>
            </w:r>
          </w:p>
        </w:tc>
        <w:tc>
          <w:tcPr>
            <w:tcW w:w="0" w:type="auto"/>
            <w:vAlign w:val="center"/>
            <w:hideMark/>
          </w:tcPr>
          <w:p w:rsidR="00EF6F5A" w:rsidRDefault="00EF6F5A">
            <w:r>
              <w:t>0 – 14</w:t>
            </w:r>
          </w:p>
        </w:tc>
        <w:tc>
          <w:tcPr>
            <w:tcW w:w="0" w:type="auto"/>
            <w:vAlign w:val="center"/>
            <w:hideMark/>
          </w:tcPr>
          <w:p w:rsidR="00EF6F5A" w:rsidRDefault="00EF6F5A">
            <w:r>
              <w:t>0 – 14</w:t>
            </w:r>
          </w:p>
        </w:tc>
      </w:tr>
      <w:tr w:rsidR="00EF6F5A" w:rsidTr="00C34353">
        <w:trPr>
          <w:tblCellSpacing w:w="15" w:type="dxa"/>
        </w:trPr>
        <w:tc>
          <w:tcPr>
            <w:tcW w:w="0" w:type="auto"/>
            <w:vAlign w:val="center"/>
            <w:hideMark/>
          </w:tcPr>
          <w:p w:rsidR="00EF6F5A" w:rsidRDefault="00EF6F5A">
            <w:r>
              <w:t>Temperature (°C)</w:t>
            </w:r>
          </w:p>
        </w:tc>
        <w:tc>
          <w:tcPr>
            <w:tcW w:w="0" w:type="auto"/>
            <w:vAlign w:val="center"/>
            <w:hideMark/>
          </w:tcPr>
          <w:p w:rsidR="00EF6F5A" w:rsidRDefault="00EF6F5A">
            <w:r>
              <w:t>-200 to +300</w:t>
            </w:r>
          </w:p>
        </w:tc>
        <w:tc>
          <w:tcPr>
            <w:tcW w:w="0" w:type="auto"/>
            <w:vAlign w:val="center"/>
            <w:hideMark/>
          </w:tcPr>
          <w:p w:rsidR="00EF6F5A" w:rsidRDefault="00EF6F5A">
            <w:r>
              <w:t>-200 to +300</w:t>
            </w:r>
          </w:p>
        </w:tc>
      </w:tr>
      <w:tr w:rsidR="00EF6F5A" w:rsidTr="00C34353">
        <w:trPr>
          <w:tblCellSpacing w:w="15" w:type="dxa"/>
        </w:trPr>
        <w:tc>
          <w:tcPr>
            <w:tcW w:w="0" w:type="auto"/>
            <w:vAlign w:val="center"/>
            <w:hideMark/>
          </w:tcPr>
          <w:p w:rsidR="00EF6F5A" w:rsidRDefault="00EF6F5A">
            <w:r>
              <w:t>Pressure (Bar)</w:t>
            </w:r>
          </w:p>
        </w:tc>
        <w:tc>
          <w:tcPr>
            <w:tcW w:w="0" w:type="auto"/>
            <w:vAlign w:val="center"/>
            <w:hideMark/>
          </w:tcPr>
          <w:p w:rsidR="00EF6F5A" w:rsidRDefault="00EF6F5A">
            <w:r>
              <w:t>100</w:t>
            </w:r>
          </w:p>
        </w:tc>
        <w:tc>
          <w:tcPr>
            <w:tcW w:w="0" w:type="auto"/>
            <w:vAlign w:val="center"/>
            <w:hideMark/>
          </w:tcPr>
          <w:p w:rsidR="00EF6F5A" w:rsidRDefault="00EF6F5A">
            <w:r>
              <w:t>200</w:t>
            </w:r>
          </w:p>
        </w:tc>
      </w:tr>
      <w:tr w:rsidR="00EF6F5A" w:rsidTr="00C34353">
        <w:trPr>
          <w:tblCellSpacing w:w="15" w:type="dxa"/>
        </w:trPr>
        <w:tc>
          <w:tcPr>
            <w:tcW w:w="0" w:type="auto"/>
            <w:vAlign w:val="center"/>
            <w:hideMark/>
          </w:tcPr>
          <w:p w:rsidR="00EF6F5A" w:rsidRDefault="00EF6F5A">
            <w:r>
              <w:t>Velocity (m/s)</w:t>
            </w:r>
          </w:p>
        </w:tc>
        <w:tc>
          <w:tcPr>
            <w:tcW w:w="0" w:type="auto"/>
            <w:vAlign w:val="center"/>
            <w:hideMark/>
          </w:tcPr>
          <w:p w:rsidR="00EF6F5A" w:rsidRDefault="00EF6F5A">
            <w:r>
              <w:t>25</w:t>
            </w:r>
          </w:p>
        </w:tc>
        <w:tc>
          <w:tcPr>
            <w:tcW w:w="0" w:type="auto"/>
            <w:vAlign w:val="center"/>
            <w:hideMark/>
          </w:tcPr>
          <w:p w:rsidR="00EF6F5A" w:rsidRDefault="00EF6F5A">
            <w:r>
              <w:t>10</w:t>
            </w:r>
          </w:p>
        </w:tc>
      </w:tr>
      <w:tr w:rsidR="00EF6F5A" w:rsidTr="00C34353">
        <w:trPr>
          <w:tblCellSpacing w:w="15" w:type="dxa"/>
        </w:trPr>
        <w:tc>
          <w:tcPr>
            <w:tcW w:w="0" w:type="auto"/>
            <w:vAlign w:val="center"/>
            <w:hideMark/>
          </w:tcPr>
          <w:p w:rsidR="00EF6F5A" w:rsidRDefault="00EF6F5A">
            <w:r>
              <w:t>Size</w:t>
            </w:r>
          </w:p>
        </w:tc>
        <w:tc>
          <w:tcPr>
            <w:tcW w:w="0" w:type="auto"/>
            <w:vAlign w:val="center"/>
            <w:hideMark/>
          </w:tcPr>
          <w:p w:rsidR="00EF6F5A" w:rsidRDefault="00EF6F5A">
            <w:r>
              <w:t xml:space="preserve">3 </w:t>
            </w:r>
            <w:proofErr w:type="spellStart"/>
            <w:r>
              <w:t>sq</w:t>
            </w:r>
            <w:proofErr w:type="spellEnd"/>
            <w:r>
              <w:t xml:space="preserve"> mm to 35 </w:t>
            </w:r>
            <w:proofErr w:type="spellStart"/>
            <w:r>
              <w:t>sq</w:t>
            </w:r>
            <w:proofErr w:type="spellEnd"/>
            <w:r>
              <w:t xml:space="preserve"> mm</w:t>
            </w:r>
          </w:p>
        </w:tc>
        <w:tc>
          <w:tcPr>
            <w:tcW w:w="0" w:type="auto"/>
            <w:vAlign w:val="center"/>
            <w:hideMark/>
          </w:tcPr>
          <w:p w:rsidR="00EF6F5A" w:rsidRDefault="00EF6F5A"/>
        </w:tc>
      </w:tr>
    </w:tbl>
    <w:p w:rsidR="00C34353" w:rsidRDefault="00E24897" w:rsidP="00C34353">
      <w:pPr>
        <w:rPr>
          <w:sz w:val="24"/>
          <w:szCs w:val="24"/>
        </w:rPr>
      </w:pPr>
      <w:r>
        <w:pict>
          <v:rect id="_x0000_i1028" style="width:0;height:1.5pt" o:hralign="center" o:hrstd="t" o:hr="t" fillcolor="#a0a0a0" stroked="f"/>
        </w:pict>
      </w:r>
    </w:p>
    <w:p w:rsidR="00C34353" w:rsidRDefault="00C34353" w:rsidP="00C34353">
      <w:pPr>
        <w:pStyle w:val="Heading2"/>
      </w:pPr>
      <w:r>
        <w:t>Performance Benefits</w:t>
      </w:r>
    </w:p>
    <w:p w:rsidR="00C34353" w:rsidRDefault="00C34353" w:rsidP="00C34353">
      <w:pPr>
        <w:pStyle w:val="NormalWeb"/>
      </w:pPr>
      <w:r>
        <w:t>● Engineered to perform reliably under demanding industrial operating conditions.</w:t>
      </w:r>
    </w:p>
    <w:p w:rsidR="00C34353" w:rsidRDefault="00C34353" w:rsidP="00C34353">
      <w:pPr>
        <w:pStyle w:val="NormalWeb"/>
      </w:pPr>
      <w:r>
        <w:t>● Excellent chemical compatibility with a wide variety of process media.</w:t>
      </w:r>
    </w:p>
    <w:p w:rsidR="00C34353" w:rsidRDefault="00C34353" w:rsidP="00C34353">
      <w:pPr>
        <w:pStyle w:val="NormalWeb"/>
      </w:pPr>
      <w:r>
        <w:t>● High thermal conductivity promotes efficient heat dissipation.</w:t>
      </w:r>
    </w:p>
    <w:p w:rsidR="00C34353" w:rsidRDefault="00C34353" w:rsidP="00C34353">
      <w:pPr>
        <w:pStyle w:val="NormalWeb"/>
      </w:pPr>
      <w:r>
        <w:t>● Low friction characteristics reduce equipment wear and extend service life.</w:t>
      </w:r>
    </w:p>
    <w:p w:rsidR="00C34353" w:rsidRDefault="00C34353" w:rsidP="00C34353">
      <w:pPr>
        <w:pStyle w:val="NormalWeb"/>
      </w:pPr>
      <w:r>
        <w:t>● Maintains sealing integrity with minimal leakage and reduced maintenance requirements.</w:t>
      </w:r>
    </w:p>
    <w:p w:rsidR="00C34353" w:rsidRDefault="00C34353" w:rsidP="00C34353">
      <w:pPr>
        <w:pStyle w:val="NormalWeb"/>
      </w:pPr>
      <w:r>
        <w:t>● Suitable for high-speed rotary equipment and dynamic sealing applications.</w:t>
      </w:r>
    </w:p>
    <w:p w:rsidR="00C34353" w:rsidRDefault="00C34353" w:rsidP="00C34353">
      <w:pPr>
        <w:pStyle w:val="NormalWeb"/>
      </w:pPr>
      <w:r>
        <w:t>● Exceptional dimensional stability under fluctuating temperatures and pressures.</w:t>
      </w:r>
    </w:p>
    <w:p w:rsidR="00C34353" w:rsidRDefault="00C34353" w:rsidP="00C34353">
      <w:pPr>
        <w:pStyle w:val="NormalWeb"/>
      </w:pPr>
      <w:r>
        <w:t>● Provides long service life with dependable operational performance.</w:t>
      </w:r>
    </w:p>
    <w:p w:rsidR="00C34353" w:rsidRDefault="00C34353" w:rsidP="00C34353">
      <w:pPr>
        <w:pStyle w:val="NormalWeb"/>
      </w:pPr>
      <w:r>
        <w:t>● Supports safe and efficient operation across multiple process industries.</w:t>
      </w:r>
    </w:p>
    <w:p w:rsidR="00C34353" w:rsidRDefault="00E24897" w:rsidP="00C34353">
      <w:r>
        <w:pict>
          <v:rect id="_x0000_i1029" style="width:0;height:1.5pt" o:hralign="center" o:hrstd="t" o:hr="t" fillcolor="#a0a0a0" stroked="f"/>
        </w:pict>
      </w:r>
    </w:p>
    <w:p w:rsidR="00C34353" w:rsidRDefault="00C34353" w:rsidP="00C34353">
      <w:pPr>
        <w:pStyle w:val="Heading3"/>
      </w:pPr>
      <w:r>
        <w:t>Certification</w:t>
      </w:r>
    </w:p>
    <w:p w:rsidR="00C34353" w:rsidRDefault="00C34353" w:rsidP="00C34353">
      <w:pPr>
        <w:pStyle w:val="NormalWeb"/>
      </w:pPr>
      <w:r>
        <w:rPr>
          <w:rFonts w:ascii="Segoe UI Symbol" w:hAnsi="Segoe UI Symbol" w:cs="Segoe UI Symbol"/>
        </w:rPr>
        <w:t>✓</w:t>
      </w:r>
      <w:r>
        <w:t xml:space="preserve"> Tested and qualified as per </w:t>
      </w:r>
      <w:r>
        <w:rPr>
          <w:rStyle w:val="Strong"/>
        </w:rPr>
        <w:t>EN 16752 (Centrifugal Pumps – Test Procedure for Seal Packing)</w:t>
      </w:r>
      <w:r w:rsidR="00E24897">
        <w:t xml:space="preserve">, </w:t>
      </w:r>
      <w:bookmarkStart w:id="0" w:name="_GoBack"/>
      <w:bookmarkEnd w:id="0"/>
      <w:r>
        <w:rPr>
          <w:rStyle w:val="Strong"/>
        </w:rPr>
        <w:t>Tightness Class T1</w:t>
      </w:r>
    </w:p>
    <w:p w:rsidR="00C34353" w:rsidRDefault="00E24897" w:rsidP="00C34353">
      <w:r>
        <w:pict>
          <v:rect id="_x0000_i1030" style="width:0;height:1.5pt" o:hralign="center" o:hrstd="t" o:hr="t" fillcolor="#a0a0a0" stroked="f"/>
        </w:pict>
      </w:r>
    </w:p>
    <w:p w:rsidR="00C34353" w:rsidRDefault="00C34353" w:rsidP="00C34353">
      <w:pPr>
        <w:pStyle w:val="NormalWeb"/>
      </w:pPr>
      <w:r>
        <w:rPr>
          <w:rStyle w:val="Strong"/>
        </w:rPr>
        <w:lastRenderedPageBreak/>
        <w:t>Note:</w:t>
      </w:r>
      <w:r>
        <w:t xml:space="preserve"> PE 504 is suitable for most industrial chemicals and media; however, it is not recommended for use with strong oxidizing agents, molten alkali metals, or fluorine compounds.</w:t>
      </w:r>
    </w:p>
    <w:p w:rsidR="00757956" w:rsidRPr="00C34353" w:rsidRDefault="00757956" w:rsidP="00C34353"/>
    <w:sectPr w:rsidR="00757956" w:rsidRPr="00C34353"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F NS">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1F1F91"/>
    <w:multiLevelType w:val="multilevel"/>
    <w:tmpl w:val="7E0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B385F"/>
    <w:rsid w:val="000D32C8"/>
    <w:rsid w:val="001B5CE9"/>
    <w:rsid w:val="001E6D4E"/>
    <w:rsid w:val="00263B36"/>
    <w:rsid w:val="0031453C"/>
    <w:rsid w:val="00325FF2"/>
    <w:rsid w:val="004305FF"/>
    <w:rsid w:val="004A5326"/>
    <w:rsid w:val="004E43B0"/>
    <w:rsid w:val="00551EF7"/>
    <w:rsid w:val="0057227B"/>
    <w:rsid w:val="005D5204"/>
    <w:rsid w:val="005E49A6"/>
    <w:rsid w:val="006A012D"/>
    <w:rsid w:val="00757956"/>
    <w:rsid w:val="007D6B72"/>
    <w:rsid w:val="0088568B"/>
    <w:rsid w:val="00897E28"/>
    <w:rsid w:val="008C1F99"/>
    <w:rsid w:val="00904608"/>
    <w:rsid w:val="009F4CC1"/>
    <w:rsid w:val="00B05526"/>
    <w:rsid w:val="00BA35C6"/>
    <w:rsid w:val="00BD7E92"/>
    <w:rsid w:val="00C34353"/>
    <w:rsid w:val="00C609C6"/>
    <w:rsid w:val="00CA53CA"/>
    <w:rsid w:val="00D1543F"/>
    <w:rsid w:val="00E024F6"/>
    <w:rsid w:val="00E025EB"/>
    <w:rsid w:val="00E24897"/>
    <w:rsid w:val="00E537BB"/>
    <w:rsid w:val="00ED194F"/>
    <w:rsid w:val="00EF6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3B7B5"/>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BD7E92"/>
    <w:pPr>
      <w:autoSpaceDE w:val="0"/>
      <w:autoSpaceDN w:val="0"/>
      <w:adjustRightInd w:val="0"/>
      <w:spacing w:after="0" w:line="240" w:lineRule="auto"/>
    </w:pPr>
    <w:rPr>
      <w:rFonts w:ascii=".SF NS" w:hAnsi=".SF NS" w:cs=".SF 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753461">
      <w:bodyDiv w:val="1"/>
      <w:marLeft w:val="0"/>
      <w:marRight w:val="0"/>
      <w:marTop w:val="0"/>
      <w:marBottom w:val="0"/>
      <w:divBdr>
        <w:top w:val="none" w:sz="0" w:space="0" w:color="auto"/>
        <w:left w:val="none" w:sz="0" w:space="0" w:color="auto"/>
        <w:bottom w:val="none" w:sz="0" w:space="0" w:color="auto"/>
        <w:right w:val="none" w:sz="0" w:space="0" w:color="auto"/>
      </w:divBdr>
      <w:divsChild>
        <w:div w:id="1275554600">
          <w:marLeft w:val="0"/>
          <w:marRight w:val="0"/>
          <w:marTop w:val="0"/>
          <w:marBottom w:val="0"/>
          <w:divBdr>
            <w:top w:val="none" w:sz="0" w:space="0" w:color="auto"/>
            <w:left w:val="none" w:sz="0" w:space="0" w:color="auto"/>
            <w:bottom w:val="none" w:sz="0" w:space="0" w:color="auto"/>
            <w:right w:val="none" w:sz="0" w:space="0" w:color="auto"/>
          </w:divBdr>
          <w:divsChild>
            <w:div w:id="3208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4135">
      <w:bodyDiv w:val="1"/>
      <w:marLeft w:val="0"/>
      <w:marRight w:val="0"/>
      <w:marTop w:val="0"/>
      <w:marBottom w:val="0"/>
      <w:divBdr>
        <w:top w:val="none" w:sz="0" w:space="0" w:color="auto"/>
        <w:left w:val="none" w:sz="0" w:space="0" w:color="auto"/>
        <w:bottom w:val="none" w:sz="0" w:space="0" w:color="auto"/>
        <w:right w:val="none" w:sz="0" w:space="0" w:color="auto"/>
      </w:divBdr>
      <w:divsChild>
        <w:div w:id="1530029894">
          <w:marLeft w:val="0"/>
          <w:marRight w:val="0"/>
          <w:marTop w:val="0"/>
          <w:marBottom w:val="0"/>
          <w:divBdr>
            <w:top w:val="none" w:sz="0" w:space="0" w:color="auto"/>
            <w:left w:val="none" w:sz="0" w:space="0" w:color="auto"/>
            <w:bottom w:val="none" w:sz="0" w:space="0" w:color="auto"/>
            <w:right w:val="none" w:sz="0" w:space="0" w:color="auto"/>
          </w:divBdr>
          <w:divsChild>
            <w:div w:id="207238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7704">
      <w:bodyDiv w:val="1"/>
      <w:marLeft w:val="0"/>
      <w:marRight w:val="0"/>
      <w:marTop w:val="0"/>
      <w:marBottom w:val="0"/>
      <w:divBdr>
        <w:top w:val="none" w:sz="0" w:space="0" w:color="auto"/>
        <w:left w:val="none" w:sz="0" w:space="0" w:color="auto"/>
        <w:bottom w:val="none" w:sz="0" w:space="0" w:color="auto"/>
        <w:right w:val="none" w:sz="0" w:space="0" w:color="auto"/>
      </w:divBdr>
      <w:divsChild>
        <w:div w:id="1159809283">
          <w:marLeft w:val="0"/>
          <w:marRight w:val="0"/>
          <w:marTop w:val="0"/>
          <w:marBottom w:val="0"/>
          <w:divBdr>
            <w:top w:val="none" w:sz="0" w:space="0" w:color="auto"/>
            <w:left w:val="none" w:sz="0" w:space="0" w:color="auto"/>
            <w:bottom w:val="none" w:sz="0" w:space="0" w:color="auto"/>
            <w:right w:val="none" w:sz="0" w:space="0" w:color="auto"/>
          </w:divBdr>
          <w:divsChild>
            <w:div w:id="116203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3305">
      <w:bodyDiv w:val="1"/>
      <w:marLeft w:val="0"/>
      <w:marRight w:val="0"/>
      <w:marTop w:val="0"/>
      <w:marBottom w:val="0"/>
      <w:divBdr>
        <w:top w:val="none" w:sz="0" w:space="0" w:color="auto"/>
        <w:left w:val="none" w:sz="0" w:space="0" w:color="auto"/>
        <w:bottom w:val="none" w:sz="0" w:space="0" w:color="auto"/>
        <w:right w:val="none" w:sz="0" w:space="0" w:color="auto"/>
      </w:divBdr>
      <w:divsChild>
        <w:div w:id="2006518652">
          <w:marLeft w:val="0"/>
          <w:marRight w:val="0"/>
          <w:marTop w:val="0"/>
          <w:marBottom w:val="0"/>
          <w:divBdr>
            <w:top w:val="none" w:sz="0" w:space="0" w:color="auto"/>
            <w:left w:val="none" w:sz="0" w:space="0" w:color="auto"/>
            <w:bottom w:val="none" w:sz="0" w:space="0" w:color="auto"/>
            <w:right w:val="none" w:sz="0" w:space="0" w:color="auto"/>
          </w:divBdr>
          <w:divsChild>
            <w:div w:id="18007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72043">
      <w:bodyDiv w:val="1"/>
      <w:marLeft w:val="0"/>
      <w:marRight w:val="0"/>
      <w:marTop w:val="0"/>
      <w:marBottom w:val="0"/>
      <w:divBdr>
        <w:top w:val="none" w:sz="0" w:space="0" w:color="auto"/>
        <w:left w:val="none" w:sz="0" w:space="0" w:color="auto"/>
        <w:bottom w:val="none" w:sz="0" w:space="0" w:color="auto"/>
        <w:right w:val="none" w:sz="0" w:space="0" w:color="auto"/>
      </w:divBdr>
      <w:divsChild>
        <w:div w:id="547645055">
          <w:marLeft w:val="0"/>
          <w:marRight w:val="0"/>
          <w:marTop w:val="0"/>
          <w:marBottom w:val="0"/>
          <w:divBdr>
            <w:top w:val="none" w:sz="0" w:space="0" w:color="auto"/>
            <w:left w:val="none" w:sz="0" w:space="0" w:color="auto"/>
            <w:bottom w:val="none" w:sz="0" w:space="0" w:color="auto"/>
            <w:right w:val="none" w:sz="0" w:space="0" w:color="auto"/>
          </w:divBdr>
          <w:divsChild>
            <w:div w:id="17996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56">
      <w:bodyDiv w:val="1"/>
      <w:marLeft w:val="0"/>
      <w:marRight w:val="0"/>
      <w:marTop w:val="0"/>
      <w:marBottom w:val="0"/>
      <w:divBdr>
        <w:top w:val="none" w:sz="0" w:space="0" w:color="auto"/>
        <w:left w:val="none" w:sz="0" w:space="0" w:color="auto"/>
        <w:bottom w:val="none" w:sz="0" w:space="0" w:color="auto"/>
        <w:right w:val="none" w:sz="0" w:space="0" w:color="auto"/>
      </w:divBdr>
    </w:div>
    <w:div w:id="1122721928">
      <w:bodyDiv w:val="1"/>
      <w:marLeft w:val="0"/>
      <w:marRight w:val="0"/>
      <w:marTop w:val="0"/>
      <w:marBottom w:val="0"/>
      <w:divBdr>
        <w:top w:val="none" w:sz="0" w:space="0" w:color="auto"/>
        <w:left w:val="none" w:sz="0" w:space="0" w:color="auto"/>
        <w:bottom w:val="none" w:sz="0" w:space="0" w:color="auto"/>
        <w:right w:val="none" w:sz="0" w:space="0" w:color="auto"/>
      </w:divBdr>
      <w:divsChild>
        <w:div w:id="1756240729">
          <w:marLeft w:val="0"/>
          <w:marRight w:val="0"/>
          <w:marTop w:val="0"/>
          <w:marBottom w:val="0"/>
          <w:divBdr>
            <w:top w:val="none" w:sz="0" w:space="0" w:color="auto"/>
            <w:left w:val="none" w:sz="0" w:space="0" w:color="auto"/>
            <w:bottom w:val="none" w:sz="0" w:space="0" w:color="auto"/>
            <w:right w:val="none" w:sz="0" w:space="0" w:color="auto"/>
          </w:divBdr>
          <w:divsChild>
            <w:div w:id="171357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1877">
      <w:bodyDiv w:val="1"/>
      <w:marLeft w:val="0"/>
      <w:marRight w:val="0"/>
      <w:marTop w:val="0"/>
      <w:marBottom w:val="0"/>
      <w:divBdr>
        <w:top w:val="none" w:sz="0" w:space="0" w:color="auto"/>
        <w:left w:val="none" w:sz="0" w:space="0" w:color="auto"/>
        <w:bottom w:val="none" w:sz="0" w:space="0" w:color="auto"/>
        <w:right w:val="none" w:sz="0" w:space="0" w:color="auto"/>
      </w:divBdr>
      <w:divsChild>
        <w:div w:id="559902986">
          <w:marLeft w:val="0"/>
          <w:marRight w:val="0"/>
          <w:marTop w:val="0"/>
          <w:marBottom w:val="0"/>
          <w:divBdr>
            <w:top w:val="none" w:sz="0" w:space="0" w:color="auto"/>
            <w:left w:val="none" w:sz="0" w:space="0" w:color="auto"/>
            <w:bottom w:val="none" w:sz="0" w:space="0" w:color="auto"/>
            <w:right w:val="none" w:sz="0" w:space="0" w:color="auto"/>
          </w:divBdr>
          <w:divsChild>
            <w:div w:id="9036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6807">
      <w:bodyDiv w:val="1"/>
      <w:marLeft w:val="0"/>
      <w:marRight w:val="0"/>
      <w:marTop w:val="0"/>
      <w:marBottom w:val="0"/>
      <w:divBdr>
        <w:top w:val="none" w:sz="0" w:space="0" w:color="auto"/>
        <w:left w:val="none" w:sz="0" w:space="0" w:color="auto"/>
        <w:bottom w:val="none" w:sz="0" w:space="0" w:color="auto"/>
        <w:right w:val="none" w:sz="0" w:space="0" w:color="auto"/>
      </w:divBdr>
      <w:divsChild>
        <w:div w:id="1404331103">
          <w:marLeft w:val="0"/>
          <w:marRight w:val="0"/>
          <w:marTop w:val="0"/>
          <w:marBottom w:val="0"/>
          <w:divBdr>
            <w:top w:val="none" w:sz="0" w:space="0" w:color="auto"/>
            <w:left w:val="none" w:sz="0" w:space="0" w:color="auto"/>
            <w:bottom w:val="none" w:sz="0" w:space="0" w:color="auto"/>
            <w:right w:val="none" w:sz="0" w:space="0" w:color="auto"/>
          </w:divBdr>
          <w:divsChild>
            <w:div w:id="1789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9785">
      <w:bodyDiv w:val="1"/>
      <w:marLeft w:val="0"/>
      <w:marRight w:val="0"/>
      <w:marTop w:val="0"/>
      <w:marBottom w:val="0"/>
      <w:divBdr>
        <w:top w:val="none" w:sz="0" w:space="0" w:color="auto"/>
        <w:left w:val="none" w:sz="0" w:space="0" w:color="auto"/>
        <w:bottom w:val="none" w:sz="0" w:space="0" w:color="auto"/>
        <w:right w:val="none" w:sz="0" w:space="0" w:color="auto"/>
      </w:divBdr>
      <w:divsChild>
        <w:div w:id="1521550879">
          <w:marLeft w:val="0"/>
          <w:marRight w:val="0"/>
          <w:marTop w:val="0"/>
          <w:marBottom w:val="0"/>
          <w:divBdr>
            <w:top w:val="none" w:sz="0" w:space="0" w:color="auto"/>
            <w:left w:val="none" w:sz="0" w:space="0" w:color="auto"/>
            <w:bottom w:val="none" w:sz="0" w:space="0" w:color="auto"/>
            <w:right w:val="none" w:sz="0" w:space="0" w:color="auto"/>
          </w:divBdr>
          <w:divsChild>
            <w:div w:id="8632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1591700189">
      <w:bodyDiv w:val="1"/>
      <w:marLeft w:val="0"/>
      <w:marRight w:val="0"/>
      <w:marTop w:val="0"/>
      <w:marBottom w:val="0"/>
      <w:divBdr>
        <w:top w:val="none" w:sz="0" w:space="0" w:color="auto"/>
        <w:left w:val="none" w:sz="0" w:space="0" w:color="auto"/>
        <w:bottom w:val="none" w:sz="0" w:space="0" w:color="auto"/>
        <w:right w:val="none" w:sz="0" w:space="0" w:color="auto"/>
      </w:divBdr>
      <w:divsChild>
        <w:div w:id="533884841">
          <w:marLeft w:val="0"/>
          <w:marRight w:val="0"/>
          <w:marTop w:val="0"/>
          <w:marBottom w:val="0"/>
          <w:divBdr>
            <w:top w:val="none" w:sz="0" w:space="0" w:color="auto"/>
            <w:left w:val="none" w:sz="0" w:space="0" w:color="auto"/>
            <w:bottom w:val="none" w:sz="0" w:space="0" w:color="auto"/>
            <w:right w:val="none" w:sz="0" w:space="0" w:color="auto"/>
          </w:divBdr>
          <w:divsChild>
            <w:div w:id="16749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03094">
      <w:bodyDiv w:val="1"/>
      <w:marLeft w:val="0"/>
      <w:marRight w:val="0"/>
      <w:marTop w:val="0"/>
      <w:marBottom w:val="0"/>
      <w:divBdr>
        <w:top w:val="none" w:sz="0" w:space="0" w:color="auto"/>
        <w:left w:val="none" w:sz="0" w:space="0" w:color="auto"/>
        <w:bottom w:val="none" w:sz="0" w:space="0" w:color="auto"/>
        <w:right w:val="none" w:sz="0" w:space="0" w:color="auto"/>
      </w:divBdr>
      <w:divsChild>
        <w:div w:id="2070958445">
          <w:marLeft w:val="0"/>
          <w:marRight w:val="0"/>
          <w:marTop w:val="0"/>
          <w:marBottom w:val="0"/>
          <w:divBdr>
            <w:top w:val="none" w:sz="0" w:space="0" w:color="auto"/>
            <w:left w:val="none" w:sz="0" w:space="0" w:color="auto"/>
            <w:bottom w:val="none" w:sz="0" w:space="0" w:color="auto"/>
            <w:right w:val="none" w:sz="0" w:space="0" w:color="auto"/>
          </w:divBdr>
          <w:divsChild>
            <w:div w:id="20259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4588">
      <w:bodyDiv w:val="1"/>
      <w:marLeft w:val="0"/>
      <w:marRight w:val="0"/>
      <w:marTop w:val="0"/>
      <w:marBottom w:val="0"/>
      <w:divBdr>
        <w:top w:val="none" w:sz="0" w:space="0" w:color="auto"/>
        <w:left w:val="none" w:sz="0" w:space="0" w:color="auto"/>
        <w:bottom w:val="none" w:sz="0" w:space="0" w:color="auto"/>
        <w:right w:val="none" w:sz="0" w:space="0" w:color="auto"/>
      </w:divBdr>
      <w:divsChild>
        <w:div w:id="2057192861">
          <w:marLeft w:val="0"/>
          <w:marRight w:val="0"/>
          <w:marTop w:val="0"/>
          <w:marBottom w:val="0"/>
          <w:divBdr>
            <w:top w:val="none" w:sz="0" w:space="0" w:color="auto"/>
            <w:left w:val="none" w:sz="0" w:space="0" w:color="auto"/>
            <w:bottom w:val="none" w:sz="0" w:space="0" w:color="auto"/>
            <w:right w:val="none" w:sz="0" w:space="0" w:color="auto"/>
          </w:divBdr>
          <w:divsChild>
            <w:div w:id="1794056631">
              <w:marLeft w:val="0"/>
              <w:marRight w:val="0"/>
              <w:marTop w:val="0"/>
              <w:marBottom w:val="0"/>
              <w:divBdr>
                <w:top w:val="none" w:sz="0" w:space="0" w:color="auto"/>
                <w:left w:val="none" w:sz="0" w:space="0" w:color="auto"/>
                <w:bottom w:val="none" w:sz="0" w:space="0" w:color="auto"/>
                <w:right w:val="none" w:sz="0" w:space="0" w:color="auto"/>
              </w:divBdr>
            </w:div>
          </w:divsChild>
        </w:div>
        <w:div w:id="1046904473">
          <w:marLeft w:val="0"/>
          <w:marRight w:val="0"/>
          <w:marTop w:val="0"/>
          <w:marBottom w:val="0"/>
          <w:divBdr>
            <w:top w:val="none" w:sz="0" w:space="0" w:color="auto"/>
            <w:left w:val="none" w:sz="0" w:space="0" w:color="auto"/>
            <w:bottom w:val="none" w:sz="0" w:space="0" w:color="auto"/>
            <w:right w:val="none" w:sz="0" w:space="0" w:color="auto"/>
          </w:divBdr>
          <w:divsChild>
            <w:div w:id="4189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36">
      <w:bodyDiv w:val="1"/>
      <w:marLeft w:val="0"/>
      <w:marRight w:val="0"/>
      <w:marTop w:val="0"/>
      <w:marBottom w:val="0"/>
      <w:divBdr>
        <w:top w:val="none" w:sz="0" w:space="0" w:color="auto"/>
        <w:left w:val="none" w:sz="0" w:space="0" w:color="auto"/>
        <w:bottom w:val="none" w:sz="0" w:space="0" w:color="auto"/>
        <w:right w:val="none" w:sz="0" w:space="0" w:color="auto"/>
      </w:divBdr>
      <w:divsChild>
        <w:div w:id="514996549">
          <w:marLeft w:val="0"/>
          <w:marRight w:val="0"/>
          <w:marTop w:val="0"/>
          <w:marBottom w:val="0"/>
          <w:divBdr>
            <w:top w:val="none" w:sz="0" w:space="0" w:color="auto"/>
            <w:left w:val="none" w:sz="0" w:space="0" w:color="auto"/>
            <w:bottom w:val="none" w:sz="0" w:space="0" w:color="auto"/>
            <w:right w:val="none" w:sz="0" w:space="0" w:color="auto"/>
          </w:divBdr>
          <w:divsChild>
            <w:div w:id="1825470513">
              <w:marLeft w:val="0"/>
              <w:marRight w:val="0"/>
              <w:marTop w:val="0"/>
              <w:marBottom w:val="0"/>
              <w:divBdr>
                <w:top w:val="none" w:sz="0" w:space="0" w:color="auto"/>
                <w:left w:val="none" w:sz="0" w:space="0" w:color="auto"/>
                <w:bottom w:val="none" w:sz="0" w:space="0" w:color="auto"/>
                <w:right w:val="none" w:sz="0" w:space="0" w:color="auto"/>
              </w:divBdr>
            </w:div>
          </w:divsChild>
        </w:div>
        <w:div w:id="10231997">
          <w:marLeft w:val="0"/>
          <w:marRight w:val="0"/>
          <w:marTop w:val="0"/>
          <w:marBottom w:val="0"/>
          <w:divBdr>
            <w:top w:val="none" w:sz="0" w:space="0" w:color="auto"/>
            <w:left w:val="none" w:sz="0" w:space="0" w:color="auto"/>
            <w:bottom w:val="none" w:sz="0" w:space="0" w:color="auto"/>
            <w:right w:val="none" w:sz="0" w:space="0" w:color="auto"/>
          </w:divBdr>
          <w:divsChild>
            <w:div w:id="16970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 w:id="2053724224">
      <w:bodyDiv w:val="1"/>
      <w:marLeft w:val="0"/>
      <w:marRight w:val="0"/>
      <w:marTop w:val="0"/>
      <w:marBottom w:val="0"/>
      <w:divBdr>
        <w:top w:val="none" w:sz="0" w:space="0" w:color="auto"/>
        <w:left w:val="none" w:sz="0" w:space="0" w:color="auto"/>
        <w:bottom w:val="none" w:sz="0" w:space="0" w:color="auto"/>
        <w:right w:val="none" w:sz="0" w:space="0" w:color="auto"/>
      </w:divBdr>
      <w:divsChild>
        <w:div w:id="1598444070">
          <w:marLeft w:val="0"/>
          <w:marRight w:val="0"/>
          <w:marTop w:val="0"/>
          <w:marBottom w:val="0"/>
          <w:divBdr>
            <w:top w:val="none" w:sz="0" w:space="0" w:color="auto"/>
            <w:left w:val="none" w:sz="0" w:space="0" w:color="auto"/>
            <w:bottom w:val="none" w:sz="0" w:space="0" w:color="auto"/>
            <w:right w:val="none" w:sz="0" w:space="0" w:color="auto"/>
          </w:divBdr>
          <w:divsChild>
            <w:div w:id="1934700863">
              <w:marLeft w:val="0"/>
              <w:marRight w:val="0"/>
              <w:marTop w:val="0"/>
              <w:marBottom w:val="0"/>
              <w:divBdr>
                <w:top w:val="none" w:sz="0" w:space="0" w:color="auto"/>
                <w:left w:val="none" w:sz="0" w:space="0" w:color="auto"/>
                <w:bottom w:val="none" w:sz="0" w:space="0" w:color="auto"/>
                <w:right w:val="none" w:sz="0" w:space="0" w:color="auto"/>
              </w:divBdr>
            </w:div>
          </w:divsChild>
        </w:div>
        <w:div w:id="1921519233">
          <w:marLeft w:val="0"/>
          <w:marRight w:val="0"/>
          <w:marTop w:val="0"/>
          <w:marBottom w:val="0"/>
          <w:divBdr>
            <w:top w:val="none" w:sz="0" w:space="0" w:color="auto"/>
            <w:left w:val="none" w:sz="0" w:space="0" w:color="auto"/>
            <w:bottom w:val="none" w:sz="0" w:space="0" w:color="auto"/>
            <w:right w:val="none" w:sz="0" w:space="0" w:color="auto"/>
          </w:divBdr>
          <w:divsChild>
            <w:div w:id="4675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4</cp:revision>
  <dcterms:created xsi:type="dcterms:W3CDTF">2026-06-08T05:21:00Z</dcterms:created>
  <dcterms:modified xsi:type="dcterms:W3CDTF">2026-06-08T08:32:00Z</dcterms:modified>
</cp:coreProperties>
</file>