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436D" w:rsidRPr="00E4436D" w:rsidRDefault="00E4436D" w:rsidP="00E4436D">
      <w:pPr>
        <w:pStyle w:val="Heading2"/>
        <w:rPr>
          <w:rFonts w:ascii="Times New Roman" w:hAnsi="Times New Roman" w:cs="Times New Roman"/>
          <w:b/>
          <w:color w:val="auto"/>
          <w:sz w:val="48"/>
          <w:szCs w:val="48"/>
        </w:rPr>
      </w:pPr>
      <w:r w:rsidRPr="00E4436D">
        <w:rPr>
          <w:rFonts w:ascii="Times New Roman" w:hAnsi="Times New Roman" w:cs="Times New Roman"/>
          <w:b/>
          <w:color w:val="auto"/>
          <w:sz w:val="48"/>
          <w:szCs w:val="48"/>
        </w:rPr>
        <w:t>1. PRODUCT OVERVIEW</w:t>
      </w:r>
    </w:p>
    <w:p w:rsidR="00E4436D" w:rsidRDefault="00E4436D" w:rsidP="00E4436D">
      <w:pPr>
        <w:pStyle w:val="NormalWeb"/>
      </w:pPr>
      <w:r>
        <w:t xml:space="preserve">INMARCO SSF 321 is a high-performance flexible graphite sheet manufactured by laminating a plain </w:t>
      </w:r>
      <w:proofErr w:type="gramStart"/>
      <w:r>
        <w:t>stainless steel</w:t>
      </w:r>
      <w:proofErr w:type="gramEnd"/>
      <w:r>
        <w:t xml:space="preserve"> reinforcement insert between layers of high-purity expanded graphite. The composite construction combines the superior sealing characteristics of flexible graphite with the enhanced mechanical strength and dimensional stability provided by stainless steel reinforcement.</w:t>
      </w:r>
    </w:p>
    <w:p w:rsidR="00E4436D" w:rsidRDefault="00E4436D" w:rsidP="00E4436D">
      <w:pPr>
        <w:pStyle w:val="NormalWeb"/>
      </w:pPr>
      <w:r>
        <w:t>The material is specifically engineered for high-temperature, high-pressure, and critical industrial sealing applications where long-term gasket integrity and operational reliability are essential. The reinforced graphite structure delivers excellent compressibility, recovery, blowout resistance, and sealing performance under severe thermal cycling and pressure fluctuation conditions.</w:t>
      </w:r>
    </w:p>
    <w:p w:rsidR="00E4436D" w:rsidRDefault="00E4436D" w:rsidP="00E4436D">
      <w:pPr>
        <w:pStyle w:val="NormalWeb"/>
      </w:pPr>
      <w:r>
        <w:t>SSF 321 is suitable for metallic, and enamel flange systems and is designed to provide dependable sealing performance in refinery, petrochemical, power generation, chemical processing, and cryogenic service environments. The material maintains excellent chemical resistance, low creep characteristics, and stable sealing performance across a broad operating range while reducing maintenance frequency and operational downtime.</w:t>
      </w:r>
    </w:p>
    <w:p w:rsidR="00E4436D" w:rsidRDefault="00F55F6C" w:rsidP="00E4436D">
      <w:r>
        <w:pict>
          <v:rect id="_x0000_i1025" style="width:0;height:1.5pt" o:hralign="center" o:hrstd="t" o:hr="t" fillcolor="#a0a0a0" stroked="f"/>
        </w:pict>
      </w:r>
    </w:p>
    <w:p w:rsidR="00E4436D" w:rsidRPr="00E4436D" w:rsidRDefault="00E4436D" w:rsidP="00E4436D">
      <w:pPr>
        <w:pStyle w:val="Heading2"/>
        <w:rPr>
          <w:rFonts w:ascii="Times New Roman" w:hAnsi="Times New Roman" w:cs="Times New Roman"/>
          <w:b/>
          <w:color w:val="auto"/>
          <w:sz w:val="48"/>
          <w:szCs w:val="48"/>
        </w:rPr>
      </w:pPr>
      <w:r w:rsidRPr="00E4436D">
        <w:rPr>
          <w:rFonts w:ascii="Times New Roman" w:hAnsi="Times New Roman" w:cs="Times New Roman"/>
          <w:b/>
          <w:color w:val="auto"/>
          <w:sz w:val="48"/>
          <w:szCs w:val="48"/>
        </w:rPr>
        <w:t>2. KEY FEATURES</w:t>
      </w:r>
    </w:p>
    <w:p w:rsidR="00E4436D" w:rsidRDefault="00E4436D" w:rsidP="00E4436D">
      <w:pPr>
        <w:pStyle w:val="NormalWeb"/>
      </w:pPr>
      <w:r>
        <w:t>• Flexible pure graphite sheet reinforced with stainless steel insert</w:t>
      </w:r>
      <w:r>
        <w:br/>
        <w:t>• High-purity expanded graphite construction for superior sealing performance</w:t>
      </w:r>
      <w:r>
        <w:br/>
        <w:t>• Stainless steel reinforcement enhances mechanical strength and gasket stability</w:t>
      </w:r>
      <w:r>
        <w:br/>
        <w:t>• Excellent resistance to pressure surges and thermal cycling conditions</w:t>
      </w:r>
      <w:r>
        <w:br/>
        <w:t>• High compressibility and recovery characteristics ensure reliable sealing</w:t>
      </w:r>
      <w:r>
        <w:br/>
        <w:t>• Suitable for cryogenic, steam, hydrocarbon, and chemical service applications</w:t>
      </w:r>
      <w:r>
        <w:br/>
        <w:t>• Excellent dimensional stability under elevated pressure and temperature conditions</w:t>
      </w:r>
      <w:r>
        <w:br/>
        <w:t>• Resistant to creep, relaxation, and material aging during operation</w:t>
      </w:r>
      <w:r>
        <w:br/>
        <w:t>• Low sulphur and chloride content suitable for sensitive industrial equipment</w:t>
      </w:r>
      <w:r>
        <w:br/>
        <w:t>• Excellent chemical resistance against a wide range of industrial media</w:t>
      </w:r>
      <w:r>
        <w:br/>
        <w:t>• Suitable for metallic, glass-lined, and enamel flange systems</w:t>
      </w:r>
      <w:r>
        <w:br/>
        <w:t>• Available in multiple thicknesses for diverse industrial sealing applications</w:t>
      </w:r>
    </w:p>
    <w:p w:rsidR="00E4436D" w:rsidRDefault="00F55F6C" w:rsidP="00E4436D">
      <w:r>
        <w:pict>
          <v:rect id="_x0000_i1026" style="width:0;height:1.5pt" o:hralign="center" o:hrstd="t" o:hr="t" fillcolor="#a0a0a0" stroked="f"/>
        </w:pict>
      </w:r>
    </w:p>
    <w:p w:rsidR="00E4436D" w:rsidRPr="00E4436D" w:rsidRDefault="00E4436D" w:rsidP="00E4436D">
      <w:pPr>
        <w:pStyle w:val="Heading2"/>
        <w:rPr>
          <w:rFonts w:ascii="Times New Roman" w:hAnsi="Times New Roman" w:cs="Times New Roman"/>
          <w:b/>
          <w:color w:val="auto"/>
          <w:sz w:val="48"/>
          <w:szCs w:val="48"/>
        </w:rPr>
      </w:pPr>
      <w:r w:rsidRPr="00E4436D">
        <w:rPr>
          <w:rFonts w:ascii="Times New Roman" w:hAnsi="Times New Roman" w:cs="Times New Roman"/>
          <w:b/>
          <w:color w:val="auto"/>
          <w:sz w:val="48"/>
          <w:szCs w:val="48"/>
        </w:rPr>
        <w:t>3. PERFORMANCE ADVANTAGES</w:t>
      </w:r>
    </w:p>
    <w:p w:rsidR="00E4436D" w:rsidRDefault="00E4436D" w:rsidP="00E4436D">
      <w:pPr>
        <w:pStyle w:val="NormalWeb"/>
      </w:pPr>
      <w:r>
        <w:t>• Maintains reliable sealing performance under high-pressure operating conditions</w:t>
      </w:r>
      <w:r>
        <w:br/>
        <w:t>• Excellent adaptability to flange surface irregularities and imperfections</w:t>
      </w:r>
      <w:r>
        <w:br/>
        <w:t>• Superior resistance to thermal degradation and cyclic temperature variations</w:t>
      </w:r>
      <w:r>
        <w:br/>
        <w:t>• Enhanced mechanical strength improves blowout resistance and gasket integrity</w:t>
      </w:r>
      <w:r>
        <w:br/>
        <w:t>• Reduces leakage risk in critical industrial process systems</w:t>
      </w:r>
      <w:r>
        <w:br/>
        <w:t>• Excellent sealing stability under fluctuating pressure and thermal loads</w:t>
      </w:r>
      <w:r>
        <w:br/>
        <w:t>• Minimizes maintenance requirements and unplanned shutdowns</w:t>
      </w:r>
      <w:r>
        <w:br/>
        <w:t>• Suitable for vacuum as well as elevated pressure applications</w:t>
      </w:r>
      <w:r>
        <w:br/>
        <w:t>• Provides reliable sealing performance in cryogenic and steam services</w:t>
      </w:r>
      <w:r>
        <w:br/>
        <w:t>• Long-term operational reliability in severe refinery and petrochemical environments</w:t>
      </w:r>
    </w:p>
    <w:p w:rsidR="00E4436D" w:rsidRDefault="00F55F6C" w:rsidP="00E4436D">
      <w:r>
        <w:pict>
          <v:rect id="_x0000_i1027" style="width:0;height:1.5pt" o:hralign="center" o:hrstd="t" o:hr="t" fillcolor="#a0a0a0" stroked="f"/>
        </w:pict>
      </w:r>
    </w:p>
    <w:p w:rsidR="00E4436D" w:rsidRPr="00E4436D" w:rsidRDefault="00E4436D" w:rsidP="00E4436D">
      <w:pPr>
        <w:pStyle w:val="Heading2"/>
        <w:rPr>
          <w:rFonts w:ascii="Times New Roman" w:hAnsi="Times New Roman" w:cs="Times New Roman"/>
          <w:b/>
          <w:color w:val="auto"/>
          <w:sz w:val="48"/>
          <w:szCs w:val="48"/>
        </w:rPr>
      </w:pPr>
      <w:r w:rsidRPr="00E4436D">
        <w:rPr>
          <w:rFonts w:ascii="Times New Roman" w:hAnsi="Times New Roman" w:cs="Times New Roman"/>
          <w:b/>
          <w:color w:val="auto"/>
          <w:sz w:val="48"/>
          <w:szCs w:val="48"/>
        </w:rPr>
        <w:lastRenderedPageBreak/>
        <w:t>4. TECHNICAL PROPERTIES</w:t>
      </w:r>
    </w:p>
    <w:tbl>
      <w:tblPr>
        <w:tblW w:w="10632"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3"/>
        <w:gridCol w:w="7979"/>
      </w:tblGrid>
      <w:tr w:rsidR="00E4436D" w:rsidTr="00575BBE">
        <w:trPr>
          <w:tblHeader/>
          <w:tblCellSpacing w:w="15" w:type="dxa"/>
        </w:trPr>
        <w:tc>
          <w:tcPr>
            <w:tcW w:w="0" w:type="auto"/>
            <w:vAlign w:val="center"/>
            <w:hideMark/>
          </w:tcPr>
          <w:p w:rsidR="00E4436D" w:rsidRDefault="00E4436D">
            <w:pPr>
              <w:jc w:val="center"/>
              <w:rPr>
                <w:b/>
                <w:bCs/>
              </w:rPr>
            </w:pPr>
            <w:r>
              <w:rPr>
                <w:b/>
                <w:bCs/>
              </w:rPr>
              <w:t>Property</w:t>
            </w:r>
          </w:p>
        </w:tc>
        <w:tc>
          <w:tcPr>
            <w:tcW w:w="7934" w:type="dxa"/>
            <w:vAlign w:val="center"/>
            <w:hideMark/>
          </w:tcPr>
          <w:p w:rsidR="00E4436D" w:rsidRDefault="00E4436D">
            <w:pPr>
              <w:jc w:val="center"/>
              <w:rPr>
                <w:b/>
                <w:bCs/>
              </w:rPr>
            </w:pPr>
            <w:r>
              <w:rPr>
                <w:b/>
                <w:bCs/>
              </w:rPr>
              <w:t>Specification</w:t>
            </w:r>
          </w:p>
        </w:tc>
      </w:tr>
      <w:tr w:rsidR="00E4436D" w:rsidTr="00575BBE">
        <w:trPr>
          <w:tblCellSpacing w:w="15" w:type="dxa"/>
        </w:trPr>
        <w:tc>
          <w:tcPr>
            <w:tcW w:w="0" w:type="auto"/>
            <w:vAlign w:val="center"/>
            <w:hideMark/>
          </w:tcPr>
          <w:p w:rsidR="00E4436D" w:rsidRDefault="00E4436D">
            <w:r>
              <w:t>Construction</w:t>
            </w:r>
          </w:p>
        </w:tc>
        <w:tc>
          <w:tcPr>
            <w:tcW w:w="7934" w:type="dxa"/>
            <w:vAlign w:val="center"/>
            <w:hideMark/>
          </w:tcPr>
          <w:p w:rsidR="00E4436D" w:rsidRDefault="00E4436D">
            <w:r>
              <w:t>Flexible graphite sheet with stainless steel reinforcement insert</w:t>
            </w:r>
          </w:p>
        </w:tc>
      </w:tr>
      <w:tr w:rsidR="00E4436D" w:rsidTr="00575BBE">
        <w:trPr>
          <w:tblCellSpacing w:w="15" w:type="dxa"/>
        </w:trPr>
        <w:tc>
          <w:tcPr>
            <w:tcW w:w="0" w:type="auto"/>
            <w:vAlign w:val="center"/>
            <w:hideMark/>
          </w:tcPr>
          <w:p w:rsidR="00E4436D" w:rsidRDefault="00E4436D">
            <w:r>
              <w:t>Material Composition</w:t>
            </w:r>
          </w:p>
        </w:tc>
        <w:tc>
          <w:tcPr>
            <w:tcW w:w="7934" w:type="dxa"/>
            <w:vAlign w:val="center"/>
            <w:hideMark/>
          </w:tcPr>
          <w:p w:rsidR="00E4436D" w:rsidRDefault="00E4436D">
            <w:r>
              <w:t xml:space="preserve">High-purity expanded graphite with plain </w:t>
            </w:r>
            <w:proofErr w:type="gramStart"/>
            <w:r>
              <w:t>stainless</w:t>
            </w:r>
            <w:r w:rsidR="00F55F6C">
              <w:t xml:space="preserve"> </w:t>
            </w:r>
            <w:r>
              <w:t>steel</w:t>
            </w:r>
            <w:proofErr w:type="gramEnd"/>
            <w:r>
              <w:t xml:space="preserve"> insert</w:t>
            </w:r>
          </w:p>
        </w:tc>
      </w:tr>
      <w:tr w:rsidR="00E4436D" w:rsidTr="00575BBE">
        <w:trPr>
          <w:tblCellSpacing w:w="15" w:type="dxa"/>
        </w:trPr>
        <w:tc>
          <w:tcPr>
            <w:tcW w:w="0" w:type="auto"/>
            <w:vAlign w:val="center"/>
            <w:hideMark/>
          </w:tcPr>
          <w:p w:rsidR="00E4436D" w:rsidRDefault="00E4436D">
            <w:r>
              <w:t>Carbon Content</w:t>
            </w:r>
          </w:p>
        </w:tc>
        <w:tc>
          <w:tcPr>
            <w:tcW w:w="7934" w:type="dxa"/>
            <w:vAlign w:val="center"/>
            <w:hideMark/>
          </w:tcPr>
          <w:p w:rsidR="00E4436D" w:rsidRDefault="00E4436D">
            <w:r>
              <w:t>99</w:t>
            </w:r>
            <w:r w:rsidR="00A65D66">
              <w:t>% min</w:t>
            </w:r>
          </w:p>
        </w:tc>
      </w:tr>
      <w:tr w:rsidR="00E4436D" w:rsidTr="00575BBE">
        <w:trPr>
          <w:tblCellSpacing w:w="15" w:type="dxa"/>
        </w:trPr>
        <w:tc>
          <w:tcPr>
            <w:tcW w:w="0" w:type="auto"/>
            <w:vAlign w:val="center"/>
            <w:hideMark/>
          </w:tcPr>
          <w:p w:rsidR="00E4436D" w:rsidRDefault="00E4436D">
            <w:r>
              <w:t>Sulphur Content</w:t>
            </w:r>
          </w:p>
        </w:tc>
        <w:tc>
          <w:tcPr>
            <w:tcW w:w="7934" w:type="dxa"/>
            <w:vAlign w:val="center"/>
            <w:hideMark/>
          </w:tcPr>
          <w:p w:rsidR="00E4436D" w:rsidRDefault="00E4436D">
            <w:r>
              <w:t>Less than 500 ppm</w:t>
            </w:r>
          </w:p>
        </w:tc>
      </w:tr>
      <w:tr w:rsidR="00E4436D" w:rsidTr="00575BBE">
        <w:trPr>
          <w:tblCellSpacing w:w="15" w:type="dxa"/>
        </w:trPr>
        <w:tc>
          <w:tcPr>
            <w:tcW w:w="0" w:type="auto"/>
            <w:vAlign w:val="center"/>
            <w:hideMark/>
          </w:tcPr>
          <w:p w:rsidR="00E4436D" w:rsidRDefault="00E4436D">
            <w:r>
              <w:t>Chloride Content</w:t>
            </w:r>
          </w:p>
        </w:tc>
        <w:tc>
          <w:tcPr>
            <w:tcW w:w="7934" w:type="dxa"/>
            <w:vAlign w:val="center"/>
            <w:hideMark/>
          </w:tcPr>
          <w:p w:rsidR="00E4436D" w:rsidRDefault="00E4436D">
            <w:r>
              <w:t>Less than 30 ppm</w:t>
            </w:r>
          </w:p>
        </w:tc>
      </w:tr>
      <w:tr w:rsidR="00E4436D" w:rsidTr="00575BBE">
        <w:trPr>
          <w:tblCellSpacing w:w="15" w:type="dxa"/>
        </w:trPr>
        <w:tc>
          <w:tcPr>
            <w:tcW w:w="0" w:type="auto"/>
            <w:vAlign w:val="center"/>
            <w:hideMark/>
          </w:tcPr>
          <w:p w:rsidR="00E4436D" w:rsidRDefault="00E4436D">
            <w:r>
              <w:t>Ash Content</w:t>
            </w:r>
          </w:p>
        </w:tc>
        <w:tc>
          <w:tcPr>
            <w:tcW w:w="7934" w:type="dxa"/>
            <w:vAlign w:val="center"/>
            <w:hideMark/>
          </w:tcPr>
          <w:p w:rsidR="00E4436D" w:rsidRDefault="00E4436D">
            <w:r>
              <w:t>Less than 1%</w:t>
            </w:r>
          </w:p>
        </w:tc>
      </w:tr>
      <w:tr w:rsidR="00E4436D" w:rsidTr="00575BBE">
        <w:trPr>
          <w:tblCellSpacing w:w="15" w:type="dxa"/>
        </w:trPr>
        <w:tc>
          <w:tcPr>
            <w:tcW w:w="0" w:type="auto"/>
            <w:vAlign w:val="center"/>
            <w:hideMark/>
          </w:tcPr>
          <w:p w:rsidR="00E4436D" w:rsidRDefault="00E4436D">
            <w:r>
              <w:t>Bulk Density</w:t>
            </w:r>
          </w:p>
        </w:tc>
        <w:tc>
          <w:tcPr>
            <w:tcW w:w="7934" w:type="dxa"/>
            <w:vAlign w:val="center"/>
            <w:hideMark/>
          </w:tcPr>
          <w:p w:rsidR="00E4436D" w:rsidRDefault="00E4436D">
            <w:r>
              <w:t>1.1 g/cc – 1.4 g/cc</w:t>
            </w:r>
            <w:bookmarkStart w:id="0" w:name="_GoBack"/>
            <w:bookmarkEnd w:id="0"/>
          </w:p>
        </w:tc>
      </w:tr>
      <w:tr w:rsidR="00E4436D" w:rsidTr="00575BBE">
        <w:trPr>
          <w:tblCellSpacing w:w="15" w:type="dxa"/>
        </w:trPr>
        <w:tc>
          <w:tcPr>
            <w:tcW w:w="0" w:type="auto"/>
            <w:vAlign w:val="center"/>
            <w:hideMark/>
          </w:tcPr>
          <w:p w:rsidR="00E4436D" w:rsidRDefault="00E4436D">
            <w:r>
              <w:t>Thickness Range</w:t>
            </w:r>
          </w:p>
        </w:tc>
        <w:tc>
          <w:tcPr>
            <w:tcW w:w="7934" w:type="dxa"/>
            <w:vAlign w:val="center"/>
            <w:hideMark/>
          </w:tcPr>
          <w:p w:rsidR="00E4436D" w:rsidRDefault="00E4436D">
            <w:r>
              <w:t>1 mm – 6 mm</w:t>
            </w:r>
          </w:p>
        </w:tc>
      </w:tr>
      <w:tr w:rsidR="00E4436D" w:rsidTr="00575BBE">
        <w:trPr>
          <w:tblCellSpacing w:w="15" w:type="dxa"/>
        </w:trPr>
        <w:tc>
          <w:tcPr>
            <w:tcW w:w="0" w:type="auto"/>
            <w:vAlign w:val="center"/>
            <w:hideMark/>
          </w:tcPr>
          <w:p w:rsidR="00E4436D" w:rsidRDefault="00E4436D">
            <w:r>
              <w:t>Reinforcement Thickness</w:t>
            </w:r>
          </w:p>
        </w:tc>
        <w:tc>
          <w:tcPr>
            <w:tcW w:w="7934" w:type="dxa"/>
            <w:vAlign w:val="center"/>
            <w:hideMark/>
          </w:tcPr>
          <w:p w:rsidR="00E4436D" w:rsidRDefault="00E4436D">
            <w:r>
              <w:t>0.05 mm – 0.1 mm</w:t>
            </w:r>
          </w:p>
        </w:tc>
      </w:tr>
      <w:tr w:rsidR="00E4436D" w:rsidTr="00575BBE">
        <w:trPr>
          <w:tblCellSpacing w:w="15" w:type="dxa"/>
        </w:trPr>
        <w:tc>
          <w:tcPr>
            <w:tcW w:w="0" w:type="auto"/>
            <w:vAlign w:val="center"/>
            <w:hideMark/>
          </w:tcPr>
          <w:p w:rsidR="00E4436D" w:rsidRDefault="00E4436D">
            <w:r>
              <w:t>pH Range</w:t>
            </w:r>
          </w:p>
        </w:tc>
        <w:tc>
          <w:tcPr>
            <w:tcW w:w="7934" w:type="dxa"/>
            <w:vAlign w:val="center"/>
            <w:hideMark/>
          </w:tcPr>
          <w:p w:rsidR="00E4436D" w:rsidRDefault="00E4436D">
            <w:r>
              <w:t>0 – 14</w:t>
            </w:r>
          </w:p>
        </w:tc>
      </w:tr>
      <w:tr w:rsidR="00E4436D" w:rsidTr="00575BBE">
        <w:trPr>
          <w:tblCellSpacing w:w="15" w:type="dxa"/>
        </w:trPr>
        <w:tc>
          <w:tcPr>
            <w:tcW w:w="0" w:type="auto"/>
            <w:vAlign w:val="center"/>
            <w:hideMark/>
          </w:tcPr>
          <w:p w:rsidR="00E4436D" w:rsidRDefault="00E4436D">
            <w:r>
              <w:t>Temperature Range</w:t>
            </w:r>
          </w:p>
        </w:tc>
        <w:tc>
          <w:tcPr>
            <w:tcW w:w="7934" w:type="dxa"/>
            <w:vAlign w:val="center"/>
            <w:hideMark/>
          </w:tcPr>
          <w:p w:rsidR="00E4436D" w:rsidRDefault="00E4436D">
            <w:r>
              <w:t>-200°C to +3315°C (reducing conditions), up to +550°C (oxidizing conditions), up to +650°C in steam</w:t>
            </w:r>
          </w:p>
        </w:tc>
      </w:tr>
      <w:tr w:rsidR="00E4436D" w:rsidTr="00575BBE">
        <w:trPr>
          <w:tblCellSpacing w:w="15" w:type="dxa"/>
        </w:trPr>
        <w:tc>
          <w:tcPr>
            <w:tcW w:w="0" w:type="auto"/>
            <w:vAlign w:val="center"/>
            <w:hideMark/>
          </w:tcPr>
          <w:p w:rsidR="00E4436D" w:rsidRDefault="00E4436D">
            <w:r>
              <w:t>Maximum Pressure</w:t>
            </w:r>
          </w:p>
        </w:tc>
        <w:tc>
          <w:tcPr>
            <w:tcW w:w="7934" w:type="dxa"/>
            <w:vAlign w:val="center"/>
            <w:hideMark/>
          </w:tcPr>
          <w:p w:rsidR="00E4436D" w:rsidRDefault="00E4436D">
            <w:r>
              <w:t xml:space="preserve">Up to 500 </w:t>
            </w:r>
            <w:proofErr w:type="gramStart"/>
            <w:r>
              <w:t>bar</w:t>
            </w:r>
            <w:proofErr w:type="gramEnd"/>
          </w:p>
        </w:tc>
      </w:tr>
      <w:tr w:rsidR="00E4436D" w:rsidTr="00575BBE">
        <w:trPr>
          <w:tblCellSpacing w:w="15" w:type="dxa"/>
        </w:trPr>
        <w:tc>
          <w:tcPr>
            <w:tcW w:w="0" w:type="auto"/>
            <w:vAlign w:val="center"/>
            <w:hideMark/>
          </w:tcPr>
          <w:p w:rsidR="00E4436D" w:rsidRDefault="00E4436D">
            <w:r>
              <w:t>Typical Operating Pressure</w:t>
            </w:r>
          </w:p>
        </w:tc>
        <w:tc>
          <w:tcPr>
            <w:tcW w:w="7934" w:type="dxa"/>
            <w:vAlign w:val="center"/>
            <w:hideMark/>
          </w:tcPr>
          <w:p w:rsidR="00E4436D" w:rsidRDefault="00E4436D">
            <w:r>
              <w:t xml:space="preserve">Vacuum to 300 </w:t>
            </w:r>
            <w:proofErr w:type="gramStart"/>
            <w:r>
              <w:t>bar</w:t>
            </w:r>
            <w:proofErr w:type="gramEnd"/>
          </w:p>
        </w:tc>
      </w:tr>
      <w:tr w:rsidR="00E4436D" w:rsidTr="00575BBE">
        <w:trPr>
          <w:tblCellSpacing w:w="15" w:type="dxa"/>
        </w:trPr>
        <w:tc>
          <w:tcPr>
            <w:tcW w:w="0" w:type="auto"/>
            <w:vAlign w:val="center"/>
            <w:hideMark/>
          </w:tcPr>
          <w:p w:rsidR="00E4436D" w:rsidRDefault="00E4436D">
            <w:r>
              <w:t>Compressibility (ASTM F36)</w:t>
            </w:r>
          </w:p>
        </w:tc>
        <w:tc>
          <w:tcPr>
            <w:tcW w:w="7934" w:type="dxa"/>
            <w:vAlign w:val="center"/>
            <w:hideMark/>
          </w:tcPr>
          <w:p w:rsidR="00E4436D" w:rsidRDefault="00E4436D">
            <w:r>
              <w:t>35% – 40%</w:t>
            </w:r>
          </w:p>
        </w:tc>
      </w:tr>
      <w:tr w:rsidR="00E4436D" w:rsidTr="00575BBE">
        <w:trPr>
          <w:tblCellSpacing w:w="15" w:type="dxa"/>
        </w:trPr>
        <w:tc>
          <w:tcPr>
            <w:tcW w:w="0" w:type="auto"/>
            <w:vAlign w:val="center"/>
            <w:hideMark/>
          </w:tcPr>
          <w:p w:rsidR="00E4436D" w:rsidRDefault="00E4436D">
            <w:r>
              <w:t>Recovery (ASTM F36)</w:t>
            </w:r>
          </w:p>
        </w:tc>
        <w:tc>
          <w:tcPr>
            <w:tcW w:w="7934" w:type="dxa"/>
            <w:vAlign w:val="center"/>
            <w:hideMark/>
          </w:tcPr>
          <w:p w:rsidR="00E4436D" w:rsidRDefault="00E4436D">
            <w:r>
              <w:t>15% – 18%</w:t>
            </w:r>
          </w:p>
        </w:tc>
      </w:tr>
      <w:tr w:rsidR="00E4436D" w:rsidTr="00575BBE">
        <w:trPr>
          <w:tblCellSpacing w:w="15" w:type="dxa"/>
        </w:trPr>
        <w:tc>
          <w:tcPr>
            <w:tcW w:w="0" w:type="auto"/>
            <w:vAlign w:val="center"/>
            <w:hideMark/>
          </w:tcPr>
          <w:p w:rsidR="00E4436D" w:rsidRDefault="00E4436D">
            <w:r>
              <w:t>“m” Factor</w:t>
            </w:r>
          </w:p>
        </w:tc>
        <w:tc>
          <w:tcPr>
            <w:tcW w:w="7934" w:type="dxa"/>
            <w:vAlign w:val="center"/>
            <w:hideMark/>
          </w:tcPr>
          <w:p w:rsidR="00E4436D" w:rsidRDefault="00E4436D">
            <w:r>
              <w:t>2.8</w:t>
            </w:r>
          </w:p>
        </w:tc>
      </w:tr>
      <w:tr w:rsidR="00E4436D" w:rsidTr="00575BBE">
        <w:trPr>
          <w:tblCellSpacing w:w="15" w:type="dxa"/>
        </w:trPr>
        <w:tc>
          <w:tcPr>
            <w:tcW w:w="0" w:type="auto"/>
            <w:vAlign w:val="center"/>
            <w:hideMark/>
          </w:tcPr>
          <w:p w:rsidR="00E4436D" w:rsidRDefault="00E4436D">
            <w:r>
              <w:t>“y” Factor</w:t>
            </w:r>
          </w:p>
        </w:tc>
        <w:tc>
          <w:tcPr>
            <w:tcW w:w="7934" w:type="dxa"/>
            <w:vAlign w:val="center"/>
            <w:hideMark/>
          </w:tcPr>
          <w:p w:rsidR="00E4436D" w:rsidRDefault="00E4436D">
            <w:r>
              <w:t>4700 psi</w:t>
            </w:r>
          </w:p>
        </w:tc>
      </w:tr>
      <w:tr w:rsidR="00E4436D" w:rsidTr="00575BBE">
        <w:trPr>
          <w:tblCellSpacing w:w="15" w:type="dxa"/>
        </w:trPr>
        <w:tc>
          <w:tcPr>
            <w:tcW w:w="0" w:type="auto"/>
            <w:vAlign w:val="center"/>
            <w:hideMark/>
          </w:tcPr>
          <w:p w:rsidR="00E4436D" w:rsidRDefault="00E4436D">
            <w:r>
              <w:t>Ignition Loss @ 454°C</w:t>
            </w:r>
          </w:p>
        </w:tc>
        <w:tc>
          <w:tcPr>
            <w:tcW w:w="7934" w:type="dxa"/>
            <w:vAlign w:val="center"/>
            <w:hideMark/>
          </w:tcPr>
          <w:p w:rsidR="00E4436D" w:rsidRDefault="00E4436D">
            <w:r>
              <w:t>1%</w:t>
            </w:r>
          </w:p>
        </w:tc>
      </w:tr>
      <w:tr w:rsidR="00E4436D" w:rsidTr="00575BBE">
        <w:trPr>
          <w:tblCellSpacing w:w="15" w:type="dxa"/>
        </w:trPr>
        <w:tc>
          <w:tcPr>
            <w:tcW w:w="0" w:type="auto"/>
            <w:vAlign w:val="center"/>
            <w:hideMark/>
          </w:tcPr>
          <w:p w:rsidR="00E4436D" w:rsidRDefault="00E4436D">
            <w:r>
              <w:t>Standard Sheet Sizes</w:t>
            </w:r>
          </w:p>
        </w:tc>
        <w:tc>
          <w:tcPr>
            <w:tcW w:w="7934" w:type="dxa"/>
            <w:vAlign w:val="center"/>
            <w:hideMark/>
          </w:tcPr>
          <w:p w:rsidR="00E4436D" w:rsidRDefault="00E4436D">
            <w:r>
              <w:t>1000 mm × 1000 mm / 1500 mm × 1500 mm</w:t>
            </w:r>
          </w:p>
        </w:tc>
      </w:tr>
    </w:tbl>
    <w:p w:rsidR="00E4436D" w:rsidRDefault="00F55F6C" w:rsidP="00E4436D">
      <w:r>
        <w:pict>
          <v:rect id="_x0000_i1028" style="width:0;height:1.5pt" o:hralign="center" o:hrstd="t" o:hr="t" fillcolor="#a0a0a0" stroked="f"/>
        </w:pict>
      </w:r>
    </w:p>
    <w:p w:rsidR="00E4436D" w:rsidRPr="00575BBE" w:rsidRDefault="00E4436D" w:rsidP="00E4436D">
      <w:pPr>
        <w:pStyle w:val="Heading2"/>
        <w:rPr>
          <w:rFonts w:ascii="Times New Roman" w:hAnsi="Times New Roman" w:cs="Times New Roman"/>
          <w:b/>
          <w:color w:val="auto"/>
          <w:sz w:val="48"/>
          <w:szCs w:val="48"/>
        </w:rPr>
      </w:pPr>
      <w:r w:rsidRPr="00575BBE">
        <w:rPr>
          <w:rFonts w:ascii="Times New Roman" w:hAnsi="Times New Roman" w:cs="Times New Roman"/>
          <w:b/>
          <w:color w:val="auto"/>
          <w:sz w:val="48"/>
          <w:szCs w:val="48"/>
        </w:rPr>
        <w:t>5. CERTIFICATIONS &amp; APPROVALS</w:t>
      </w:r>
    </w:p>
    <w:p w:rsidR="00E4436D" w:rsidRDefault="00E4436D" w:rsidP="00E4436D">
      <w:pPr>
        <w:pStyle w:val="NormalWeb"/>
      </w:pPr>
      <w:r>
        <w:t>• ASTM F36 → Compressibility and recovery testing for gasket materials</w:t>
      </w:r>
      <w:r>
        <w:br/>
        <w:t xml:space="preserve">• ASTM F37 → </w:t>
      </w:r>
      <w:proofErr w:type="spellStart"/>
      <w:r>
        <w:t>Sealability</w:t>
      </w:r>
      <w:proofErr w:type="spellEnd"/>
      <w:r>
        <w:t xml:space="preserve"> and leakage performance evaluation</w:t>
      </w:r>
      <w:r>
        <w:br/>
        <w:t>• Suitable for high-temperature industrial sealing applications</w:t>
      </w:r>
      <w:r>
        <w:br/>
        <w:t>• Engineered for refinery, petrochemical, and power generation services</w:t>
      </w:r>
      <w:r>
        <w:br/>
        <w:t>• Low sulphur and chloride content suitable for sensitive process equipment applications</w:t>
      </w:r>
    </w:p>
    <w:p w:rsidR="00E4436D" w:rsidRDefault="00F55F6C" w:rsidP="00E4436D">
      <w:r>
        <w:pict>
          <v:rect id="_x0000_i1029" style="width:0;height:1.5pt" o:hralign="center" o:hrstd="t" o:hr="t" fillcolor="#a0a0a0" stroked="f"/>
        </w:pict>
      </w:r>
    </w:p>
    <w:p w:rsidR="00E4436D" w:rsidRPr="00575BBE" w:rsidRDefault="00E4436D" w:rsidP="00E4436D">
      <w:pPr>
        <w:pStyle w:val="Heading2"/>
        <w:rPr>
          <w:rFonts w:ascii="Times New Roman" w:hAnsi="Times New Roman" w:cs="Times New Roman"/>
          <w:b/>
          <w:color w:val="auto"/>
          <w:sz w:val="48"/>
          <w:szCs w:val="48"/>
        </w:rPr>
      </w:pPr>
      <w:r w:rsidRPr="00575BBE">
        <w:rPr>
          <w:rFonts w:ascii="Times New Roman" w:hAnsi="Times New Roman" w:cs="Times New Roman"/>
          <w:b/>
          <w:color w:val="auto"/>
          <w:sz w:val="48"/>
          <w:szCs w:val="48"/>
        </w:rPr>
        <w:lastRenderedPageBreak/>
        <w:t>6. APPLICATIONS</w:t>
      </w:r>
    </w:p>
    <w:p w:rsidR="00E4436D" w:rsidRDefault="00E4436D" w:rsidP="00E4436D">
      <w:pPr>
        <w:pStyle w:val="NormalWeb"/>
      </w:pPr>
      <w:r>
        <w:t>• Pipe flange gasket applications</w:t>
      </w:r>
      <w:r>
        <w:br/>
        <w:t>• Valve bonnet sealing systems</w:t>
      </w:r>
      <w:r>
        <w:br/>
        <w:t>• Heat exchanger gasket systems</w:t>
      </w:r>
      <w:r>
        <w:br/>
        <w:t>• Metallic, glass-lined, and enamel flange assemblies</w:t>
      </w:r>
      <w:r>
        <w:br/>
        <w:t>• Refinery and petrochemical process plants</w:t>
      </w:r>
      <w:r>
        <w:br/>
        <w:t>• Power generation facilities</w:t>
      </w:r>
      <w:r>
        <w:br/>
        <w:t>• Steam distribution systems</w:t>
      </w:r>
      <w:r>
        <w:br/>
        <w:t>• Hydrocarbon processing systems</w:t>
      </w:r>
      <w:r>
        <w:br/>
        <w:t>• Cryogenic process applications</w:t>
      </w:r>
      <w:r>
        <w:br/>
        <w:t>• Chemical processing industries</w:t>
      </w:r>
      <w:r>
        <w:br/>
        <w:t>• Fuel and lubricating oil systems</w:t>
      </w:r>
      <w:r>
        <w:br/>
        <w:t>• Gas and fluid handling equipment</w:t>
      </w:r>
    </w:p>
    <w:p w:rsidR="00E4436D" w:rsidRDefault="00F55F6C" w:rsidP="00E4436D">
      <w:r>
        <w:pict>
          <v:rect id="_x0000_i1030" style="width:0;height:1.5pt" o:hralign="center" o:hrstd="t" o:hr="t" fillcolor="#a0a0a0" stroked="f"/>
        </w:pict>
      </w:r>
    </w:p>
    <w:p w:rsidR="00E4436D" w:rsidRPr="00575BBE" w:rsidRDefault="00E4436D" w:rsidP="00E4436D">
      <w:pPr>
        <w:pStyle w:val="Heading2"/>
        <w:rPr>
          <w:rFonts w:ascii="Times New Roman" w:hAnsi="Times New Roman" w:cs="Times New Roman"/>
          <w:b/>
          <w:color w:val="auto"/>
          <w:sz w:val="48"/>
          <w:szCs w:val="48"/>
        </w:rPr>
      </w:pPr>
      <w:r w:rsidRPr="00575BBE">
        <w:rPr>
          <w:rFonts w:ascii="Times New Roman" w:hAnsi="Times New Roman" w:cs="Times New Roman"/>
          <w:b/>
          <w:color w:val="auto"/>
          <w:sz w:val="48"/>
          <w:szCs w:val="48"/>
        </w:rPr>
        <w:t>7. PERFORMANCE BENEFITS</w:t>
      </w:r>
    </w:p>
    <w:p w:rsidR="00E4436D" w:rsidRDefault="00E4436D" w:rsidP="00E4436D">
      <w:pPr>
        <w:pStyle w:val="NormalWeb"/>
      </w:pPr>
      <w:r>
        <w:t>• Provides long-term sealing reliability under severe industrial operating conditions</w:t>
      </w:r>
      <w:r>
        <w:br/>
        <w:t>• Reduces maintenance frequency and associated operational downtime</w:t>
      </w:r>
      <w:r>
        <w:br/>
        <w:t>• Excellent resistance to thermal cycling and pressure fluctuations</w:t>
      </w:r>
      <w:r>
        <w:br/>
        <w:t>• Superior compressibility improves flange sealing effectiveness</w:t>
      </w:r>
      <w:r>
        <w:br/>
        <w:t>• High mechanical strength enhances gasket handling and operational durability</w:t>
      </w:r>
      <w:r>
        <w:br/>
        <w:t>• Reduces leakage risk and improves plant operational safety</w:t>
      </w:r>
      <w:r>
        <w:br/>
        <w:t>• Suitable for both vacuum and elevated pressure operating conditions</w:t>
      </w:r>
      <w:r>
        <w:br/>
        <w:t>• Excellent chemical resistance supports broad media compatibility</w:t>
      </w:r>
      <w:r>
        <w:br/>
        <w:t>• Stable sealing performance improves equipment operational efficiency</w:t>
      </w:r>
      <w:r>
        <w:br/>
        <w:t>• Supports safer and more reliable refinery and process plant operation</w:t>
      </w:r>
    </w:p>
    <w:p w:rsidR="00E4436D" w:rsidRDefault="00F55F6C" w:rsidP="00E4436D">
      <w:r>
        <w:pict>
          <v:rect id="_x0000_i1031" style="width:0;height:1.5pt" o:hralign="center" o:hrstd="t" o:hr="t" fillcolor="#a0a0a0" stroked="f"/>
        </w:pict>
      </w:r>
    </w:p>
    <w:p w:rsidR="00E4436D" w:rsidRPr="00575BBE" w:rsidRDefault="00E4436D" w:rsidP="00E4436D">
      <w:pPr>
        <w:pStyle w:val="Heading2"/>
        <w:rPr>
          <w:rFonts w:ascii="Times New Roman" w:hAnsi="Times New Roman" w:cs="Times New Roman"/>
          <w:b/>
          <w:color w:val="auto"/>
          <w:sz w:val="48"/>
          <w:szCs w:val="48"/>
        </w:rPr>
      </w:pPr>
      <w:r w:rsidRPr="00575BBE">
        <w:rPr>
          <w:rFonts w:ascii="Times New Roman" w:hAnsi="Times New Roman" w:cs="Times New Roman"/>
          <w:b/>
          <w:color w:val="auto"/>
          <w:sz w:val="48"/>
          <w:szCs w:val="48"/>
        </w:rPr>
        <w:t>8. TESTING &amp; VALIDATION</w:t>
      </w:r>
    </w:p>
    <w:p w:rsidR="00E4436D" w:rsidRDefault="00E4436D" w:rsidP="00E4436D">
      <w:pPr>
        <w:pStyle w:val="NormalWeb"/>
      </w:pPr>
      <w:r>
        <w:t>• Tested for compressibility and recovery performance as per ASTM F36</w:t>
      </w:r>
      <w:r>
        <w:br/>
        <w:t xml:space="preserve">• </w:t>
      </w:r>
      <w:r w:rsidR="00A65D66">
        <w:t>Saleability</w:t>
      </w:r>
      <w:r>
        <w:t xml:space="preserve"> performance validated according to ASTM F37 standards</w:t>
      </w:r>
      <w:r>
        <w:br/>
        <w:t>• Evaluated for high-temperature steam and cryogenic operating conditions</w:t>
      </w:r>
      <w:r>
        <w:br/>
        <w:t>• Tested for long-term sealing stability under thermal and pressure cycling</w:t>
      </w:r>
      <w:r>
        <w:br/>
        <w:t>• Verified for chemical purity including sulphur, chloride, and ash content</w:t>
      </w:r>
      <w:r>
        <w:br/>
        <w:t>• Proven operational suitability for critical industrial gasket applications</w:t>
      </w:r>
    </w:p>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5EAB"/>
    <w:multiLevelType w:val="multilevel"/>
    <w:tmpl w:val="FD3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E30"/>
    <w:multiLevelType w:val="multilevel"/>
    <w:tmpl w:val="CFA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0E7B"/>
    <w:multiLevelType w:val="multilevel"/>
    <w:tmpl w:val="718A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EA8"/>
    <w:multiLevelType w:val="multilevel"/>
    <w:tmpl w:val="ABA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1952"/>
    <w:multiLevelType w:val="multilevel"/>
    <w:tmpl w:val="19D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B280E"/>
    <w:multiLevelType w:val="multilevel"/>
    <w:tmpl w:val="93B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D4685"/>
    <w:multiLevelType w:val="multilevel"/>
    <w:tmpl w:val="2A1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64A7A"/>
    <w:multiLevelType w:val="multilevel"/>
    <w:tmpl w:val="D58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12EE1"/>
    <w:multiLevelType w:val="multilevel"/>
    <w:tmpl w:val="4BE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2731"/>
    <w:multiLevelType w:val="multilevel"/>
    <w:tmpl w:val="86C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543CA"/>
    <w:multiLevelType w:val="multilevel"/>
    <w:tmpl w:val="B99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7539E"/>
    <w:multiLevelType w:val="multilevel"/>
    <w:tmpl w:val="353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D0474"/>
    <w:multiLevelType w:val="multilevel"/>
    <w:tmpl w:val="22B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613C"/>
    <w:multiLevelType w:val="multilevel"/>
    <w:tmpl w:val="2D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927E0"/>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816E6"/>
    <w:multiLevelType w:val="multilevel"/>
    <w:tmpl w:val="5A6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B7E01"/>
    <w:multiLevelType w:val="multilevel"/>
    <w:tmpl w:val="75F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F533A"/>
    <w:multiLevelType w:val="multilevel"/>
    <w:tmpl w:val="2C9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67B83"/>
    <w:multiLevelType w:val="multilevel"/>
    <w:tmpl w:val="430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16921"/>
    <w:multiLevelType w:val="multilevel"/>
    <w:tmpl w:val="BBC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C7757"/>
    <w:multiLevelType w:val="multilevel"/>
    <w:tmpl w:val="095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13E41"/>
    <w:multiLevelType w:val="multilevel"/>
    <w:tmpl w:val="22A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A45C3"/>
    <w:multiLevelType w:val="multilevel"/>
    <w:tmpl w:val="19F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7"/>
  </w:num>
  <w:num w:numId="3">
    <w:abstractNumId w:val="10"/>
  </w:num>
  <w:num w:numId="4">
    <w:abstractNumId w:val="4"/>
  </w:num>
  <w:num w:numId="5">
    <w:abstractNumId w:val="12"/>
  </w:num>
  <w:num w:numId="6">
    <w:abstractNumId w:val="15"/>
  </w:num>
  <w:num w:numId="7">
    <w:abstractNumId w:val="16"/>
  </w:num>
  <w:num w:numId="8">
    <w:abstractNumId w:val="29"/>
  </w:num>
  <w:num w:numId="9">
    <w:abstractNumId w:val="19"/>
  </w:num>
  <w:num w:numId="10">
    <w:abstractNumId w:val="5"/>
  </w:num>
  <w:num w:numId="11">
    <w:abstractNumId w:val="6"/>
  </w:num>
  <w:num w:numId="12">
    <w:abstractNumId w:val="22"/>
  </w:num>
  <w:num w:numId="13">
    <w:abstractNumId w:val="21"/>
  </w:num>
  <w:num w:numId="14">
    <w:abstractNumId w:val="20"/>
  </w:num>
  <w:num w:numId="15">
    <w:abstractNumId w:val="23"/>
  </w:num>
  <w:num w:numId="16">
    <w:abstractNumId w:val="28"/>
  </w:num>
  <w:num w:numId="17">
    <w:abstractNumId w:val="27"/>
  </w:num>
  <w:num w:numId="18">
    <w:abstractNumId w:val="32"/>
  </w:num>
  <w:num w:numId="19">
    <w:abstractNumId w:val="1"/>
  </w:num>
  <w:num w:numId="20">
    <w:abstractNumId w:val="26"/>
  </w:num>
  <w:num w:numId="21">
    <w:abstractNumId w:val="8"/>
  </w:num>
  <w:num w:numId="22">
    <w:abstractNumId w:val="30"/>
  </w:num>
  <w:num w:numId="23">
    <w:abstractNumId w:val="13"/>
  </w:num>
  <w:num w:numId="24">
    <w:abstractNumId w:val="0"/>
  </w:num>
  <w:num w:numId="25">
    <w:abstractNumId w:val="3"/>
  </w:num>
  <w:num w:numId="26">
    <w:abstractNumId w:val="9"/>
  </w:num>
  <w:num w:numId="27">
    <w:abstractNumId w:val="7"/>
  </w:num>
  <w:num w:numId="28">
    <w:abstractNumId w:val="11"/>
  </w:num>
  <w:num w:numId="29">
    <w:abstractNumId w:val="14"/>
  </w:num>
  <w:num w:numId="30">
    <w:abstractNumId w:val="25"/>
  </w:num>
  <w:num w:numId="31">
    <w:abstractNumId w:val="31"/>
  </w:num>
  <w:num w:numId="32">
    <w:abstractNumId w:val="18"/>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437234"/>
    <w:rsid w:val="004A37C2"/>
    <w:rsid w:val="00575BBE"/>
    <w:rsid w:val="006B402F"/>
    <w:rsid w:val="006D5514"/>
    <w:rsid w:val="00A65D66"/>
    <w:rsid w:val="00B2707D"/>
    <w:rsid w:val="00CB30BD"/>
    <w:rsid w:val="00D840D2"/>
    <w:rsid w:val="00DA5803"/>
    <w:rsid w:val="00DB7ED0"/>
    <w:rsid w:val="00E4436D"/>
    <w:rsid w:val="00F55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1241"/>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2026-05-27T06:29:00Z</dcterms:created>
  <dcterms:modified xsi:type="dcterms:W3CDTF">2026-06-03T10:36:00Z</dcterms:modified>
</cp:coreProperties>
</file>