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44A4" w:rsidRPr="004244A4" w:rsidRDefault="004244A4" w:rsidP="004244A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244A4">
        <w:rPr>
          <w:rFonts w:ascii="Times New Roman" w:eastAsia="Times New Roman" w:hAnsi="Times New Roman" w:cs="Times New Roman"/>
          <w:b/>
          <w:bCs/>
          <w:kern w:val="36"/>
          <w:sz w:val="48"/>
          <w:szCs w:val="48"/>
          <w:lang w:eastAsia="en-IN"/>
        </w:rPr>
        <w:t>TECHNICAL DATASHEET</w: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SPIRAL WOUND GASKET</w:t>
      </w:r>
    </w:p>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1. PRODUCT OVERVIEW</w:t>
      </w:r>
    </w:p>
    <w:p w:rsidR="004244A4" w:rsidRPr="004244A4" w:rsidRDefault="004244A4" w:rsidP="004244A4">
      <w:p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Spiral Wound Gaskets (SWGs) are high-performance metallic sealing elements designed for critical flange applications involving high temperature, high pressure, thermal cycling, vibration, and chemically aggressive media. These gaskets are engineered for applications where conventional non-metallic sealing materials are unable to maintain long-term sealing integrity under demanding operating conditions.</w:t>
      </w:r>
    </w:p>
    <w:p w:rsidR="004244A4" w:rsidRPr="004244A4" w:rsidRDefault="004244A4" w:rsidP="004244A4">
      <w:p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The gasket is manufactured by precision winding a V-shaped metallic strip together with a soft filler material such as graphite, PTFE, or mica in a controlled spiral configuration. This alternating metal–filler structure provides an optimum combination of strength, flexibility, and recovery, ensuring reliable sealing performance under fluctuating pressure and temperature conditions.</w:t>
      </w:r>
    </w:p>
    <w:p w:rsidR="004244A4" w:rsidRPr="004244A4" w:rsidRDefault="004244A4" w:rsidP="004244A4">
      <w:p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The metallic winding provides structural reinforcement and blowout resistance, while the soft filler ensures effective sealing by conforming to flange surface irregularities. This results in consistent sealing stress retention throughout thermal expansion, pressure cycling, and mechanical vibration.</w:t>
      </w:r>
    </w:p>
    <w:p w:rsidR="004244A4" w:rsidRPr="004244A4" w:rsidRDefault="004244A4" w:rsidP="004244A4">
      <w:p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Spiral Wound Gaskets are widely used across oil &amp; gas, petrochemical, power generation, chemical processing, marine, and heavy industrial applications where safety and sealing reliability are critical.</w:t>
      </w:r>
    </w:p>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2. KEY FEATURES</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Designed for high-integrity sealing in high temperature, high pressure, and cyclic operating conditions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Excellent resilience and recovery </w:t>
      </w:r>
      <w:r w:rsidR="002D19F6" w:rsidRPr="004244A4">
        <w:rPr>
          <w:rFonts w:ascii="Times New Roman" w:eastAsia="Times New Roman" w:hAnsi="Times New Roman" w:cs="Times New Roman"/>
          <w:sz w:val="24"/>
          <w:szCs w:val="24"/>
          <w:lang w:eastAsia="en-IN"/>
        </w:rPr>
        <w:t>ensure</w:t>
      </w:r>
      <w:r w:rsidRPr="004244A4">
        <w:rPr>
          <w:rFonts w:ascii="Times New Roman" w:eastAsia="Times New Roman" w:hAnsi="Times New Roman" w:cs="Times New Roman"/>
          <w:sz w:val="24"/>
          <w:szCs w:val="24"/>
          <w:lang w:eastAsia="en-IN"/>
        </w:rPr>
        <w:t xml:space="preserve"> long-term sealing performance under thermal cycling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Precision V-shaped metallic winding with soft filler for optimized sealing efficiency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High mechanical strength with superior blowout resistance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Wide chemical compatibility depending on selected filler and metal combinations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Suitable for multiple flange types including RF, FF, and T&amp;G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Optional inner and outer guide rings for improved </w:t>
      </w:r>
      <w:proofErr w:type="spellStart"/>
      <w:r w:rsidRPr="004244A4">
        <w:rPr>
          <w:rFonts w:ascii="Times New Roman" w:eastAsia="Times New Roman" w:hAnsi="Times New Roman" w:cs="Times New Roman"/>
          <w:sz w:val="24"/>
          <w:szCs w:val="24"/>
          <w:lang w:eastAsia="en-IN"/>
        </w:rPr>
        <w:t>centering</w:t>
      </w:r>
      <w:proofErr w:type="spellEnd"/>
      <w:r w:rsidRPr="004244A4">
        <w:rPr>
          <w:rFonts w:ascii="Times New Roman" w:eastAsia="Times New Roman" w:hAnsi="Times New Roman" w:cs="Times New Roman"/>
          <w:sz w:val="24"/>
          <w:szCs w:val="24"/>
          <w:lang w:eastAsia="en-IN"/>
        </w:rPr>
        <w:t xml:space="preserve"> and installation accuracy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Stable performance under pressure fluctuations, vibration, and thermal expansion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Available in multiple material combinations for application-specific requirements </w:t>
      </w:r>
    </w:p>
    <w:p w:rsidR="004244A4" w:rsidRPr="004244A4" w:rsidRDefault="004244A4" w:rsidP="004244A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Designed for reliable performance in critical and continuous operation systems </w:t>
      </w:r>
    </w:p>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3. PERFORMANCE ADVANTAGES</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Maintains sealing integrity under extreme temperature and pressure variations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Excellent resistance to thermal cycling and flange movement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High stress retention capability ensures long service performance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Reduced leakage risk in dynamic and high-pressure systems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lastRenderedPageBreak/>
        <w:t xml:space="preserve">Superior blowout resistance enhances operational safety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Minimizes maintenance requirements and unplanned shutdowns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Suitable for aggressive media including steam, hydrocarbons, and corrosive chemicals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Provides consistent performance across fluctuating operating conditions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Improves overall plant reliability and operational uptime </w:t>
      </w:r>
    </w:p>
    <w:p w:rsidR="004244A4" w:rsidRPr="004244A4" w:rsidRDefault="004244A4" w:rsidP="004244A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Long service life under proper installation and material selection </w:t>
      </w:r>
    </w:p>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4. TECHNICAL PROPERTIES</w:t>
      </w:r>
    </w:p>
    <w:tbl>
      <w:tblPr>
        <w:tblW w:w="9923" w:type="dxa"/>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7910"/>
      </w:tblGrid>
      <w:tr w:rsidR="004244A4" w:rsidRPr="004244A4" w:rsidTr="004244A4">
        <w:trPr>
          <w:tblHeader/>
          <w:tblCellSpacing w:w="15" w:type="dxa"/>
          <w:jc w:val="center"/>
        </w:trPr>
        <w:tc>
          <w:tcPr>
            <w:tcW w:w="0" w:type="auto"/>
            <w:vAlign w:val="center"/>
            <w:hideMark/>
          </w:tcPr>
          <w:p w:rsidR="004244A4" w:rsidRPr="004244A4" w:rsidRDefault="004244A4" w:rsidP="004244A4">
            <w:pPr>
              <w:spacing w:after="0" w:line="240" w:lineRule="auto"/>
              <w:jc w:val="center"/>
              <w:rPr>
                <w:rFonts w:ascii="Times New Roman" w:eastAsia="Times New Roman" w:hAnsi="Times New Roman" w:cs="Times New Roman"/>
                <w:b/>
                <w:bCs/>
                <w:sz w:val="24"/>
                <w:szCs w:val="24"/>
                <w:lang w:eastAsia="en-IN"/>
              </w:rPr>
            </w:pPr>
            <w:r w:rsidRPr="004244A4">
              <w:rPr>
                <w:rFonts w:ascii="Times New Roman" w:eastAsia="Times New Roman" w:hAnsi="Times New Roman" w:cs="Times New Roman"/>
                <w:b/>
                <w:bCs/>
                <w:sz w:val="24"/>
                <w:szCs w:val="24"/>
                <w:lang w:eastAsia="en-IN"/>
              </w:rPr>
              <w:t>Property</w:t>
            </w:r>
          </w:p>
        </w:tc>
        <w:tc>
          <w:tcPr>
            <w:tcW w:w="7865" w:type="dxa"/>
            <w:vAlign w:val="center"/>
            <w:hideMark/>
          </w:tcPr>
          <w:p w:rsidR="004244A4" w:rsidRPr="004244A4" w:rsidRDefault="004244A4" w:rsidP="004244A4">
            <w:pPr>
              <w:spacing w:after="0" w:line="240" w:lineRule="auto"/>
              <w:jc w:val="center"/>
              <w:rPr>
                <w:rFonts w:ascii="Times New Roman" w:eastAsia="Times New Roman" w:hAnsi="Times New Roman" w:cs="Times New Roman"/>
                <w:b/>
                <w:bCs/>
                <w:sz w:val="24"/>
                <w:szCs w:val="24"/>
                <w:lang w:eastAsia="en-IN"/>
              </w:rPr>
            </w:pPr>
            <w:r w:rsidRPr="004244A4">
              <w:rPr>
                <w:rFonts w:ascii="Times New Roman" w:eastAsia="Times New Roman" w:hAnsi="Times New Roman" w:cs="Times New Roman"/>
                <w:b/>
                <w:bCs/>
                <w:sz w:val="24"/>
                <w:szCs w:val="24"/>
                <w:lang w:eastAsia="en-IN"/>
              </w:rPr>
              <w:t>Specification</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Operating Pressure</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Full vacuum to 250 </w:t>
            </w:r>
            <w:proofErr w:type="gramStart"/>
            <w:r w:rsidRPr="004244A4">
              <w:rPr>
                <w:rFonts w:ascii="Times New Roman" w:eastAsia="Times New Roman" w:hAnsi="Times New Roman" w:cs="Times New Roman"/>
                <w:sz w:val="24"/>
                <w:szCs w:val="24"/>
                <w:lang w:eastAsia="en-IN"/>
              </w:rPr>
              <w:t>bar</w:t>
            </w:r>
            <w:proofErr w:type="gramEnd"/>
            <w:r w:rsidRPr="004244A4">
              <w:rPr>
                <w:rFonts w:ascii="Times New Roman" w:eastAsia="Times New Roman" w:hAnsi="Times New Roman" w:cs="Times New Roman"/>
                <w:sz w:val="24"/>
                <w:szCs w:val="24"/>
                <w:lang w:eastAsia="en-IN"/>
              </w:rPr>
              <w:t xml:space="preserve"> (depends on flange class and configuration)</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Operating Temperature</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-200°C to +550°C (standard); up to +1000°C with special fillers</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Construction</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Spiral wound V-shaped metallic strip with soft filler material</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Winding Materials</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SS304, SS316/316L, SS321, SS347, Duplex Stainless Steel, Inconel®, Monel®, Hastelloy®, Titanium</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Filler Materials</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Graphite, PTFE, Mica, Ceramic (application dependent)</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Gasket Types</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CGI, CG, R, RIR</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Flange Compatibility</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Raised Face (RF), Flat Face (FF), Tongue &amp; Groove (T&amp;G), Male-Female</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Size Range</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1/2" to 60" (standard); larger sizes on request</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Standards</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ASME B16.20, API 601, DIN EN 1514-2, JIS (as applicable)</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Ring Materials</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Carbon Steel, Stainless Steel, or equivalent as per requirement</w:t>
            </w:r>
          </w:p>
        </w:tc>
      </w:tr>
      <w:tr w:rsidR="004244A4" w:rsidRPr="004244A4" w:rsidTr="004244A4">
        <w:trPr>
          <w:tblCellSpacing w:w="15" w:type="dxa"/>
          <w:jc w:val="center"/>
        </w:trPr>
        <w:tc>
          <w:tcPr>
            <w:tcW w:w="0" w:type="auto"/>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Design Feature</w:t>
            </w:r>
          </w:p>
        </w:tc>
        <w:tc>
          <w:tcPr>
            <w:tcW w:w="7865" w:type="dxa"/>
            <w:vAlign w:val="center"/>
            <w:hideMark/>
          </w:tcPr>
          <w:p w:rsidR="004244A4" w:rsidRPr="004244A4" w:rsidRDefault="004244A4" w:rsidP="004244A4">
            <w:pPr>
              <w:spacing w:after="0"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Controlled winding tension for uniform stress distribution and sealing performance</w:t>
            </w:r>
          </w:p>
        </w:tc>
      </w:tr>
    </w:tbl>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5. CONFIGURATIONS</w:t>
      </w:r>
    </w:p>
    <w:p w:rsidR="004244A4" w:rsidRPr="004244A4" w:rsidRDefault="004244A4" w:rsidP="004244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b/>
          <w:bCs/>
          <w:sz w:val="24"/>
          <w:szCs w:val="24"/>
          <w:lang w:eastAsia="en-IN"/>
        </w:rPr>
        <w:t>CGI Type:</w:t>
      </w:r>
      <w:r w:rsidRPr="004244A4">
        <w:rPr>
          <w:rFonts w:ascii="Times New Roman" w:eastAsia="Times New Roman" w:hAnsi="Times New Roman" w:cs="Times New Roman"/>
          <w:sz w:val="24"/>
          <w:szCs w:val="24"/>
          <w:lang w:eastAsia="en-IN"/>
        </w:rPr>
        <w:t xml:space="preserve"> Inner ring + outer ring </w:t>
      </w:r>
    </w:p>
    <w:p w:rsidR="004244A4" w:rsidRPr="004244A4" w:rsidRDefault="004244A4" w:rsidP="004244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b/>
          <w:bCs/>
          <w:sz w:val="24"/>
          <w:szCs w:val="24"/>
          <w:lang w:eastAsia="en-IN"/>
        </w:rPr>
        <w:t>CG Type:</w:t>
      </w:r>
      <w:r w:rsidRPr="004244A4">
        <w:rPr>
          <w:rFonts w:ascii="Times New Roman" w:eastAsia="Times New Roman" w:hAnsi="Times New Roman" w:cs="Times New Roman"/>
          <w:sz w:val="24"/>
          <w:szCs w:val="24"/>
          <w:lang w:eastAsia="en-IN"/>
        </w:rPr>
        <w:t xml:space="preserve"> Outer ring only </w:t>
      </w:r>
    </w:p>
    <w:p w:rsidR="004244A4" w:rsidRPr="004244A4" w:rsidRDefault="004244A4" w:rsidP="004244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b/>
          <w:bCs/>
          <w:sz w:val="24"/>
          <w:szCs w:val="24"/>
          <w:lang w:eastAsia="en-IN"/>
        </w:rPr>
        <w:t>R Type:</w:t>
      </w:r>
      <w:r w:rsidRPr="004244A4">
        <w:rPr>
          <w:rFonts w:ascii="Times New Roman" w:eastAsia="Times New Roman" w:hAnsi="Times New Roman" w:cs="Times New Roman"/>
          <w:sz w:val="24"/>
          <w:szCs w:val="24"/>
          <w:lang w:eastAsia="en-IN"/>
        </w:rPr>
        <w:t xml:space="preserve"> Without rings </w:t>
      </w:r>
    </w:p>
    <w:p w:rsidR="004244A4" w:rsidRPr="004244A4" w:rsidRDefault="004244A4" w:rsidP="004244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b/>
          <w:bCs/>
          <w:sz w:val="24"/>
          <w:szCs w:val="24"/>
          <w:lang w:eastAsia="en-IN"/>
        </w:rPr>
        <w:t>RIR Type:</w:t>
      </w:r>
      <w:r w:rsidRPr="004244A4">
        <w:rPr>
          <w:rFonts w:ascii="Times New Roman" w:eastAsia="Times New Roman" w:hAnsi="Times New Roman" w:cs="Times New Roman"/>
          <w:sz w:val="24"/>
          <w:szCs w:val="24"/>
          <w:lang w:eastAsia="en-IN"/>
        </w:rPr>
        <w:t xml:space="preserve"> Inner ring only </w:t>
      </w:r>
    </w:p>
    <w:p w:rsidR="004244A4" w:rsidRPr="004244A4" w:rsidRDefault="004244A4" w:rsidP="004244A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Custom designs available based on application requirements </w:t>
      </w:r>
    </w:p>
    <w:p w:rsidR="004244A4" w:rsidRPr="004244A4" w:rsidRDefault="008A6D00" w:rsidP="004244A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6. APPLICATIONS</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Oil &amp; Gas processing plants (upstream, midstream, downstream)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Petrochemical and chemical processing industries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Power generation plants (thermal, nuclear, combined cycle)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Steam lines, boilers, and high-pressure piping systems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Heat exchangers and pressure vessels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Refinery process units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Fertilizer and ammonia/urea plants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Marine and offshore installations </w:t>
      </w:r>
    </w:p>
    <w:p w:rsidR="004244A4" w:rsidRPr="004244A4" w:rsidRDefault="004244A4" w:rsidP="004244A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Water treatment and desalination plants </w:t>
      </w:r>
    </w:p>
    <w:p w:rsidR="00AD38F7" w:rsidRPr="002D19F6" w:rsidRDefault="004244A4" w:rsidP="002D19F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244A4">
        <w:rPr>
          <w:rFonts w:ascii="Times New Roman" w:eastAsia="Times New Roman" w:hAnsi="Times New Roman" w:cs="Times New Roman"/>
          <w:sz w:val="24"/>
          <w:szCs w:val="24"/>
          <w:lang w:eastAsia="en-IN"/>
        </w:rPr>
        <w:t xml:space="preserve">General industrial piping, pumps, and valve systems </w:t>
      </w:r>
    </w:p>
    <w:p w:rsidR="004244A4" w:rsidRPr="00AD38F7" w:rsidRDefault="008A6D00" w:rsidP="00AD38F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4244A4" w:rsidRPr="004244A4" w:rsidRDefault="004244A4" w:rsidP="004244A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44A4">
        <w:rPr>
          <w:rFonts w:ascii="Times New Roman" w:eastAsia="Times New Roman" w:hAnsi="Times New Roman" w:cs="Times New Roman"/>
          <w:b/>
          <w:bCs/>
          <w:sz w:val="36"/>
          <w:szCs w:val="36"/>
          <w:lang w:eastAsia="en-IN"/>
        </w:rPr>
        <w:t>DISCLAIMER</w:t>
      </w:r>
    </w:p>
    <w:p w:rsidR="004244A4" w:rsidRPr="008A293D" w:rsidRDefault="008A6D00" w:rsidP="008A6D00">
      <w:pPr>
        <w:spacing w:before="100" w:beforeAutospacing="1" w:after="100" w:afterAutospacing="1" w:line="240" w:lineRule="auto"/>
        <w:rPr>
          <w:rFonts w:ascii="Times New Roman" w:eastAsia="Times New Roman" w:hAnsi="Times New Roman" w:cs="Times New Roman"/>
          <w:sz w:val="24"/>
          <w:szCs w:val="24"/>
          <w:lang w:eastAsia="en-IN"/>
        </w:rPr>
      </w:pPr>
      <w:r>
        <w:t>All technical information, recommendations, and performance data provided in this technical datasheet are based on current knowledge, laboratory testing, and industrial experience. 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bookmarkStart w:id="0" w:name="_GoBack"/>
      <w:bookmarkEnd w:id="0"/>
    </w:p>
    <w:sectPr w:rsidR="004244A4" w:rsidRPr="008A293D" w:rsidSect="004244A4">
      <w:pgSz w:w="11906" w:h="16838"/>
      <w:pgMar w:top="709"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20B4E"/>
    <w:multiLevelType w:val="multilevel"/>
    <w:tmpl w:val="C330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3B1853"/>
    <w:multiLevelType w:val="multilevel"/>
    <w:tmpl w:val="B14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691835"/>
    <w:multiLevelType w:val="multilevel"/>
    <w:tmpl w:val="CF0E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B594C"/>
    <w:multiLevelType w:val="multilevel"/>
    <w:tmpl w:val="063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A12"/>
    <w:rsid w:val="00031FAD"/>
    <w:rsid w:val="002D19F6"/>
    <w:rsid w:val="004244A4"/>
    <w:rsid w:val="008A293D"/>
    <w:rsid w:val="008A6D00"/>
    <w:rsid w:val="00921A12"/>
    <w:rsid w:val="00AD38F7"/>
    <w:rsid w:val="00DA7C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790F63-D419-48DC-9DCA-F8B4035C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244A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44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21A12"/>
    <w:rPr>
      <w:b/>
      <w:bCs/>
    </w:rPr>
  </w:style>
  <w:style w:type="table" w:styleId="TableGrid">
    <w:name w:val="Table Grid"/>
    <w:basedOn w:val="TableNormal"/>
    <w:uiPriority w:val="39"/>
    <w:rsid w:val="00921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44A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44A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244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217145">
      <w:bodyDiv w:val="1"/>
      <w:marLeft w:val="0"/>
      <w:marRight w:val="0"/>
      <w:marTop w:val="0"/>
      <w:marBottom w:val="0"/>
      <w:divBdr>
        <w:top w:val="none" w:sz="0" w:space="0" w:color="auto"/>
        <w:left w:val="none" w:sz="0" w:space="0" w:color="auto"/>
        <w:bottom w:val="none" w:sz="0" w:space="0" w:color="auto"/>
        <w:right w:val="none" w:sz="0" w:space="0" w:color="auto"/>
      </w:divBdr>
    </w:div>
    <w:div w:id="998078223">
      <w:bodyDiv w:val="1"/>
      <w:marLeft w:val="0"/>
      <w:marRight w:val="0"/>
      <w:marTop w:val="0"/>
      <w:marBottom w:val="0"/>
      <w:divBdr>
        <w:top w:val="none" w:sz="0" w:space="0" w:color="auto"/>
        <w:left w:val="none" w:sz="0" w:space="0" w:color="auto"/>
        <w:bottom w:val="none" w:sz="0" w:space="0" w:color="auto"/>
        <w:right w:val="none" w:sz="0" w:space="0" w:color="auto"/>
      </w:divBdr>
    </w:div>
    <w:div w:id="1147086727">
      <w:bodyDiv w:val="1"/>
      <w:marLeft w:val="0"/>
      <w:marRight w:val="0"/>
      <w:marTop w:val="0"/>
      <w:marBottom w:val="0"/>
      <w:divBdr>
        <w:top w:val="none" w:sz="0" w:space="0" w:color="auto"/>
        <w:left w:val="none" w:sz="0" w:space="0" w:color="auto"/>
        <w:bottom w:val="none" w:sz="0" w:space="0" w:color="auto"/>
        <w:right w:val="none" w:sz="0" w:space="0" w:color="auto"/>
      </w:divBdr>
    </w:div>
    <w:div w:id="1267425378">
      <w:bodyDiv w:val="1"/>
      <w:marLeft w:val="0"/>
      <w:marRight w:val="0"/>
      <w:marTop w:val="0"/>
      <w:marBottom w:val="0"/>
      <w:divBdr>
        <w:top w:val="none" w:sz="0" w:space="0" w:color="auto"/>
        <w:left w:val="none" w:sz="0" w:space="0" w:color="auto"/>
        <w:bottom w:val="none" w:sz="0" w:space="0" w:color="auto"/>
        <w:right w:val="none" w:sz="0" w:space="0" w:color="auto"/>
      </w:divBdr>
      <w:divsChild>
        <w:div w:id="1665859697">
          <w:marLeft w:val="0"/>
          <w:marRight w:val="0"/>
          <w:marTop w:val="0"/>
          <w:marBottom w:val="0"/>
          <w:divBdr>
            <w:top w:val="none" w:sz="0" w:space="0" w:color="auto"/>
            <w:left w:val="none" w:sz="0" w:space="0" w:color="auto"/>
            <w:bottom w:val="none" w:sz="0" w:space="0" w:color="auto"/>
            <w:right w:val="none" w:sz="0" w:space="0" w:color="auto"/>
          </w:divBdr>
          <w:divsChild>
            <w:div w:id="4268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3989">
      <w:bodyDiv w:val="1"/>
      <w:marLeft w:val="0"/>
      <w:marRight w:val="0"/>
      <w:marTop w:val="0"/>
      <w:marBottom w:val="0"/>
      <w:divBdr>
        <w:top w:val="none" w:sz="0" w:space="0" w:color="auto"/>
        <w:left w:val="none" w:sz="0" w:space="0" w:color="auto"/>
        <w:bottom w:val="none" w:sz="0" w:space="0" w:color="auto"/>
        <w:right w:val="none" w:sz="0" w:space="0" w:color="auto"/>
      </w:divBdr>
    </w:div>
    <w:div w:id="211420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4</cp:revision>
  <dcterms:created xsi:type="dcterms:W3CDTF">2026-05-26T04:36:00Z</dcterms:created>
  <dcterms:modified xsi:type="dcterms:W3CDTF">2026-05-26T10:34:00Z</dcterms:modified>
</cp:coreProperties>
</file>