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4. 书籍破损表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书籍破损表={编号+书籍编号+检查人员编号+检查时间+破损详细信息+修复状态}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检查人员编号=[12{数字}12|10{数字}10|8{数字}8]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月＝"01".."12"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　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破损详细详细={汉字}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修复状态=["已修复"|"待修复"|"修复失败"]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420" w:firstLineChars="200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书商字典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书商字典=书商编号+书商名字+地址+联系人+电话+邮编+开户行+备注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书商编号=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8{数字}8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书商名字={汉字}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联系人={汉字}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电话={数字}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邮编={数字}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开户行={数字}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备注={字符}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420" w:firstLineChars="200"/>
        <w:jc w:val="left"/>
        <w:textAlignment w:val="auto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出版社字典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出版社字典=出版社编号+出版社名字+地址+出版地+电话+邮编+开户行+网址+备注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出版社编号=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8{数字}8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出版社名字={汉字}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出版地={字符}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电话={数字}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邮编={数字}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开户行={字符}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网址={字符}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备注={字符}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印刷厂字典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印刷厂字典=印刷厂编号+印刷厂名字+地址+印刷地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印刷厂编号=8{数字}8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地址={字符}</w:t>
      </w:r>
    </w:p>
    <w:p>
      <w:pPr>
        <w:pStyle w:val="10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0"/>
        <w:jc w:val="left"/>
        <w:textAlignment w:val="auto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印刷地={字符}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t>4. 书籍破损表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7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418"/>
        <w:gridCol w:w="699"/>
        <w:gridCol w:w="2037"/>
        <w:gridCol w:w="148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检查人员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破损详细信息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修复状态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已修复|待修复|修复失败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读者院校表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2.书商字典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216"/>
        <w:gridCol w:w="1056"/>
        <w:gridCol w:w="1896"/>
        <w:gridCol w:w="105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书商编号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书商名字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联系人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Call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电话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Postcodes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邮编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开户行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备注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numId w:val="0"/>
        </w:numPr>
        <w:ind w:leftChars="200"/>
        <w:rPr>
          <w:rFonts w:hint="eastAsia"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3.出版社字典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26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出版社编号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出版社名字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PublishLocation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ind w:firstLine="210" w:firstLineChars="100"/>
              <w:jc w:val="both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出版地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Call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电话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  <w:t>Postcodes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邮编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BankName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开户行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备注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4.印刷厂字典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216"/>
        <w:gridCol w:w="1056"/>
        <w:gridCol w:w="1896"/>
        <w:gridCol w:w="126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印刷厂编号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PrintingHouse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印刷厂名字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PrintLocation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ind w:firstLine="210" w:firstLineChars="100"/>
              <w:jc w:val="both"/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印刷地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A3C2DEA"/>
    <w:rsid w:val="0BBC6BE4"/>
    <w:rsid w:val="0CD72DD4"/>
    <w:rsid w:val="0F4678A9"/>
    <w:rsid w:val="0FE73C84"/>
    <w:rsid w:val="11D96764"/>
    <w:rsid w:val="18545CE9"/>
    <w:rsid w:val="1AE450A5"/>
    <w:rsid w:val="1B045B61"/>
    <w:rsid w:val="1B0F010D"/>
    <w:rsid w:val="22D36FC8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99C40C4"/>
    <w:rsid w:val="5B2D2B87"/>
    <w:rsid w:val="5B6900AF"/>
    <w:rsid w:val="5F070CE4"/>
    <w:rsid w:val="631679FC"/>
    <w:rsid w:val="63D42333"/>
    <w:rsid w:val="63F06AF8"/>
    <w:rsid w:val="65754099"/>
    <w:rsid w:val="668D39EC"/>
    <w:rsid w:val="674B6D61"/>
    <w:rsid w:val="67A61B29"/>
    <w:rsid w:val="68B76822"/>
    <w:rsid w:val="690A0FE2"/>
    <w:rsid w:val="6BD82222"/>
    <w:rsid w:val="6D3400E7"/>
    <w:rsid w:val="6D456A1F"/>
    <w:rsid w:val="6E9A75C5"/>
    <w:rsid w:val="6FB63942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</TotalTime>
  <ScaleCrop>false</ScaleCrop>
  <LinksUpToDate>false</LinksUpToDate>
  <CharactersWithSpaces>1116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反告白。</cp:lastModifiedBy>
  <dcterms:modified xsi:type="dcterms:W3CDTF">2020-06-05T03:42:59Z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