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DDDDD" w:sz="1"/>
        </w:pBdr>
        <w:spacing w:after="80"/>
      </w:pPr>
      <w:r>
        <w:rPr>
          <w:rFonts w:ascii="Arial" w:cs="Arial" w:eastAsia="Arial" w:hAnsi="Arial"/>
          <w:b/>
          <w:bCs/>
          <w:color w:val="555555"/>
          <w:sz w:val="22"/>
          <w:szCs w:val="22"/>
        </w:rPr>
        <w:t xml:space="preserve">Meta title : </w:t>
      </w:r>
      <w:r>
        <w:rPr>
          <w:rFonts w:ascii="Arial" w:cs="Arial" w:eastAsia="Arial" w:hAnsi="Arial"/>
          <w:color w:val="555555"/>
          <w:sz w:val="22"/>
          <w:szCs w:val="22"/>
        </w:rPr>
        <w:t xml:space="preserve">Art comme placement financier : rendement réel, risques et canaux d’accès 2026</w:t>
      </w:r>
    </w:p>
    <w:p>
      <w:pPr>
        <w:pBdr>
          <w:bottom w:val="single" w:color="DDDDDD" w:sz="1"/>
        </w:pBdr>
        <w:spacing w:after="80"/>
      </w:pPr>
      <w:r>
        <w:rPr>
          <w:rFonts w:ascii="Arial" w:cs="Arial" w:eastAsia="Arial" w:hAnsi="Arial"/>
          <w:b/>
          <w:bCs/>
          <w:color w:val="555555"/>
          <w:sz w:val="22"/>
          <w:szCs w:val="22"/>
        </w:rPr>
        <w:t xml:space="preserve">Meta description : </w:t>
      </w:r>
      <w:r>
        <w:rPr>
          <w:rFonts w:ascii="Arial" w:cs="Arial" w:eastAsia="Arial" w:hAnsi="Arial"/>
          <w:color w:val="555555"/>
          <w:sz w:val="22"/>
          <w:szCs w:val="22"/>
        </w:rPr>
        <w:t xml:space="preserve">L’art est-il un bon placement ? Rendement net de frais, liquidité, fiscalité, fractionné, fonds : tout ce qu’il faut savoir avant d’investir dans l’art en 2026. Guide complet et objectif.</w:t>
      </w:r>
    </w:p>
    <w:p>
      <w:pPr>
        <w:pBdr>
          <w:bottom w:val="single" w:color="DDDDDD" w:sz="1"/>
        </w:pBdr>
        <w:spacing w:after="80"/>
      </w:pPr>
      <w:r>
        <w:rPr>
          <w:rFonts w:ascii="Arial" w:cs="Arial" w:eastAsia="Arial" w:hAnsi="Arial"/>
          <w:b/>
          <w:bCs/>
          <w:color w:val="555555"/>
          <w:sz w:val="22"/>
          <w:szCs w:val="22"/>
        </w:rPr>
        <w:t xml:space="preserve">Keyword cible : </w:t>
      </w:r>
      <w:r>
        <w:rPr>
          <w:rFonts w:ascii="Arial" w:cs="Arial" w:eastAsia="Arial" w:hAnsi="Arial"/>
          <w:color w:val="555555"/>
          <w:sz w:val="22"/>
          <w:szCs w:val="22"/>
        </w:rPr>
        <w:t xml:space="preserve">art comme placement financier</w:t>
      </w:r>
    </w:p>
    <w:p>
      <w:pPr>
        <w:pBdr>
          <w:bottom w:val="single" w:color="DDDDDD" w:sz="1"/>
        </w:pBdr>
        <w:spacing w:after="80"/>
      </w:pPr>
      <w:r>
        <w:rPr>
          <w:rFonts w:ascii="Arial" w:cs="Arial" w:eastAsia="Arial" w:hAnsi="Arial"/>
          <w:b/>
          <w:bCs/>
          <w:color w:val="555555"/>
          <w:sz w:val="22"/>
          <w:szCs w:val="22"/>
        </w:rPr>
        <w:t xml:space="preserve">Format : </w:t>
      </w:r>
      <w:r>
        <w:rPr>
          <w:rFonts w:ascii="Arial" w:cs="Arial" w:eastAsia="Arial" w:hAnsi="Arial"/>
          <w:color w:val="555555"/>
          <w:sz w:val="22"/>
          <w:szCs w:val="22"/>
        </w:rPr>
        <w:t xml:space="preserve">Guide complet d’investissement accessible — 2 400 à 2 800 mots</w:t>
      </w:r>
    </w:p>
    <w:p>
      <w:pPr>
        <w:spacing w:after="120"/>
      </w:pPr>
      <w:r>
        <w:t xml:space="preserve"/>
      </w:r>
    </w:p>
    <w:p>
      <w:pPr>
        <w:pStyle w:val="Heading1"/>
        <w:spacing w:before="400" w:after="240"/>
      </w:pPr>
      <w:r>
        <w:rPr>
          <w:rFonts w:ascii="Arial" w:cs="Arial" w:eastAsia="Arial" w:hAnsi="Arial"/>
          <w:b/>
          <w:bCs/>
          <w:sz w:val="36"/>
          <w:szCs w:val="36"/>
        </w:rPr>
        <w:t xml:space="preserve">L’art comme placement financier : analyse objective du rendement, des risques et des canaux d’accès en 2026</w:t>
      </w:r>
    </w:p>
    <w:p>
      <w:pPr>
        <w:spacing w:after="160"/>
        <w:jc w:val="both"/>
      </w:pPr>
      <w:r>
        <w:rPr>
          <w:rFonts w:ascii="Arial" w:cs="Arial" w:eastAsia="Arial" w:hAnsi="Arial"/>
          <w:sz w:val="24"/>
          <w:szCs w:val="24"/>
        </w:rPr>
        <w:t xml:space="preserve">L’art attire de plus en plus d’investisseurs qui le présentent comme un placement offrant des rendements « souvent supérieurs à la bourse ». Cette affirmation est inexacte. Sur 20 ans et en rendement net de frais, un ETF CAC 40 dividendes réinvestis surperforme l’indice Artprice dans la quasi-totalité des configurations, notamment parce que les frais de transaction de l’art physique — 20 à 30 % combinés à l’achat et à la vente — érodent massivement le rendement brut affiché. L’art a pourtant sa place dans un portefeuille diversifié : décorrélé des marchés financiers, exclu de l’IFI, fiscalement favorable à long terme, et porteur d’une dimension esthétique et culturelle qu’aucun autre actif ne peut offrir. Ce guide traite l’art comme tout autre placement : avec les données réelles, les frais effectifs et les conditions dans lesquelles il peut avoir du sens dans votre épargne.</w:t>
      </w:r>
    </w:p>
    <w:p>
      <w:pPr>
        <w:pStyle w:val="Heading2"/>
        <w:spacing w:before="360" w:after="200"/>
      </w:pPr>
      <w:r>
        <w:rPr>
          <w:rFonts w:ascii="Arial" w:cs="Arial" w:eastAsia="Arial" w:hAnsi="Arial"/>
          <w:b/>
          <w:bCs/>
          <w:sz w:val="30"/>
          <w:szCs w:val="30"/>
        </w:rPr>
        <w:t xml:space="preserve">L’art est-il vraiment un bon placement ? Ce que disent les données</w:t>
      </w:r>
    </w:p>
    <w:p>
      <w:pPr>
        <w:spacing w:after="160"/>
        <w:jc w:val="both"/>
      </w:pPr>
      <w:r>
        <w:rPr>
          <w:rFonts w:ascii="Arial" w:cs="Arial" w:eastAsia="Arial" w:hAnsi="Arial"/>
          <w:sz w:val="24"/>
          <w:szCs w:val="24"/>
        </w:rPr>
        <w:t xml:space="preserve">Pour évaluer l’art comme placement, il faut utiliser des données crédibles et les lire correctement — ce que la plupart des guides disponibles ne font pas.</w:t>
      </w:r>
    </w:p>
    <w:p>
      <w:pPr>
        <w:pStyle w:val="Heading3"/>
        <w:spacing w:before="280" w:after="160"/>
      </w:pPr>
      <w:r>
        <w:rPr>
          <w:rFonts w:ascii="Arial" w:cs="Arial" w:eastAsia="Arial" w:hAnsi="Arial"/>
          <w:b/>
          <w:bCs/>
          <w:sz w:val="26"/>
          <w:szCs w:val="26"/>
        </w:rPr>
        <w:t xml:space="preserve">Les indices de référence : Artprice Global Index et Mei Moses</w:t>
      </w:r>
    </w:p>
    <w:p>
      <w:pPr>
        <w:spacing w:after="160"/>
        <w:jc w:val="both"/>
      </w:pPr>
      <w:r>
        <w:rPr>
          <w:rFonts w:ascii="Arial" w:cs="Arial" w:eastAsia="Arial" w:hAnsi="Arial"/>
          <w:sz w:val="24"/>
          <w:szCs w:val="24"/>
        </w:rPr>
        <w:t xml:space="preserve">Deux indices font autorité sur la performance du marché de l’art. L’indice Artprice Global, publié par la société française Artprice, suit les prix des transactions aux enchères sur plus de 700 000 artistes depuis les années 2000. Le rapport Mei Moses — développé par deux professeurs de la New York University avant d’être racheté par Sotheby’s — mesure la performance des œuvres revendues plusieurs fois aux enchères. Ces deux indices convergent vers un rendement annuel moyen de 5 à 7 % sur 20 ans, toutes catégories d’art confondues. Ce chiffre est le point de départ de l’analyse — pas sa conclusion.</w:t>
      </w:r>
    </w:p>
    <w:p>
      <w:pPr>
        <w:pStyle w:val="Heading3"/>
        <w:spacing w:before="280" w:after="160"/>
      </w:pPr>
      <w:r>
        <w:rPr>
          <w:rFonts w:ascii="Arial" w:cs="Arial" w:eastAsia="Arial" w:hAnsi="Arial"/>
          <w:b/>
          <w:bCs/>
          <w:sz w:val="26"/>
          <w:szCs w:val="26"/>
        </w:rPr>
        <w:t xml:space="preserve">Le rendement brut affiché : 5 à 7 % par an en moyenne</w:t>
      </w:r>
    </w:p>
    <w:p>
      <w:pPr>
        <w:spacing w:after="160"/>
        <w:jc w:val="both"/>
      </w:pPr>
      <w:r>
        <w:rPr>
          <w:rFonts w:ascii="Arial" w:cs="Arial" w:eastAsia="Arial" w:hAnsi="Arial"/>
          <w:sz w:val="24"/>
          <w:szCs w:val="24"/>
        </w:rPr>
        <w:t xml:space="preserve">Un rendement annuel de 5 à 7 % semble attractif. Pour le mettre en perspective : l’immobilier résidentiel français affiche un rendement comparable (4 à 6 % hors plus-value) avec des frais de transaction de 7 à 10 % — soit deux à trois fois moins que l’art. Les ETF actions sur le CAC 40 dividendes réinvestis affichent 7 à 9 % par an avec des frais de transaction quasi nuls. L’art n’est donc pas un surperformeur des marchés traditionnels — c’est un actif à rendement brut comparable mais à frais radicalement supérieurs, ce qui explique son rendement net structurellement inférieur.</w:t>
      </w:r>
    </w:p>
    <w:p>
      <w:pPr>
        <w:pStyle w:val="Heading3"/>
        <w:spacing w:before="280" w:after="160"/>
      </w:pPr>
      <w:r>
        <w:rPr>
          <w:rFonts w:ascii="Arial" w:cs="Arial" w:eastAsia="Arial" w:hAnsi="Arial"/>
          <w:b/>
          <w:bCs/>
          <w:sz w:val="26"/>
          <w:szCs w:val="26"/>
        </w:rPr>
        <w:t xml:space="preserve">Le rendement net réel : l’impact des frais de transaction et de détention</w:t>
      </w:r>
    </w:p>
    <w:p>
      <w:pPr>
        <w:spacing w:after="160"/>
        <w:jc w:val="both"/>
      </w:pPr>
      <w:r>
        <w:rPr>
          <w:rFonts w:ascii="Arial" w:cs="Arial" w:eastAsia="Arial" w:hAnsi="Arial"/>
          <w:sz w:val="24"/>
          <w:szCs w:val="24"/>
        </w:rPr>
        <w:t xml:space="preserve">Le calcul du rendement net réel d’un investissement dans l’art doit intégrer trois niveaux de frais systématiquement ignorés dans les comparatifs grand public. Les frais d’acquisition : une galerie applique généralement une marge de 40 à 60 % sur le prix artiste — l’acheteur paie donc 1,4 à 1,6 fois la valeur réelle de l’œuvre dès l’entrée. Une salle des ventes aux enchères facture des frais acheteur de 15 à 30 % en sus du prix d’adjudication. Les frais de détention : assurance (0,1 à 0,5 % de la valeur assurée par an), conservation, nettoyage, transport. Les frais de cession : une maison de ventes facture des frais vendeur de 10 à 15 % en sus des frais acheteur. La simulation ci-dessous illustre l’impact réel de ces frais sur le rendement net.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04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Scénario pessimiste</w:t>
            </w:r>
          </w:p>
        </w:tc>
        <w:tc>
          <w:tcPr>
            <w:tcW w:type="dxa" w:w="204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Scénario moyen</w:t>
            </w:r>
          </w:p>
        </w:tc>
        <w:tc>
          <w:tcPr>
            <w:tcW w:type="dxa" w:w="204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Scénario optimiste</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Prix d’achat affiéché</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10 000 €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10 000 €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10 000 €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Frais d’acquisition (galerie : 25 %)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2 500 €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2 500 €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2 500 €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Coût réel à l’entrée</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12 500 €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12 500 €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12 500 €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Frais de détention sur 10 ans (0,3 % / an)</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3 750 €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3 750 €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3 750 €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Prix de revente brut</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12 000 €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18 000 €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28 000 €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Frais de vente aux enchères (15 %)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1 800 €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2 700 €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4 200 €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Produit net de la vente</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10 200 €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15 300 €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23 800 €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Gain / perte net sur 10 ans</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−6 050 €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+7 550 €</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Rendement annuel net réel</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−4,2 % / an</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 / an</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+2,8 % / an</w:t>
            </w:r>
          </w:p>
        </w:tc>
      </w:tr>
      <w:tr>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Rendement brut affiché (avant frais)</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1,8 % / an</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6 % / an</w:t>
            </w:r>
          </w:p>
        </w:tc>
        <w:tc>
          <w:tcPr>
            <w:tcW w:type="dxa" w:w="2042"/>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10,8 % / an</w:t>
            </w:r>
          </w:p>
        </w:tc>
      </w:tr>
    </w:tbl>
    <w:p>
      <w:pPr>
        <w:spacing w:before="80" w:after="200"/>
      </w:pPr>
      <w:r>
        <w:rPr>
          <w:rFonts w:ascii="Arial" w:cs="Arial" w:eastAsia="Arial" w:hAnsi="Arial"/>
          <w:i/>
          <w:iCs/>
          <w:color w:val="888888"/>
          <w:sz w:val="18"/>
          <w:szCs w:val="18"/>
        </w:rPr>
        <w:t xml:space="preserve">Simulation du rendement net réel d’un investissement de 10 000 € dans l’art sur 10 ans — données 2026</w:t>
      </w:r>
    </w:p>
    <w:p>
      <w:pPr>
        <w:spacing w:after="160"/>
        <w:jc w:val="both"/>
      </w:pPr>
      <w:r>
        <w:rPr>
          <w:rFonts w:ascii="Arial" w:cs="Arial" w:eastAsia="Arial" w:hAnsi="Arial"/>
          <w:sz w:val="24"/>
          <w:szCs w:val="24"/>
        </w:rPr>
        <w:t xml:space="preserve">La simulation est éclairante : même dans le scénario moyen (revente à 80 % de plus que le prix d’achat), le rendement net réel est nul après 10 ans de détention. Pour que l’art soit un placement financier rentable, il faut réaliser une plus-value brute très significative — ce qui exige soit du temps (15 à 20 ans), soit une sélection exceptionnelle d’artistes à fort potentiel.</w:t>
      </w:r>
    </w:p>
    <w:p>
      <w:pPr>
        <w:pStyle w:val="Heading3"/>
        <w:spacing w:before="280" w:after="160"/>
      </w:pPr>
      <w:r>
        <w:rPr>
          <w:rFonts w:ascii="Arial" w:cs="Arial" w:eastAsia="Arial" w:hAnsi="Arial"/>
          <w:b/>
          <w:bCs/>
          <w:sz w:val="26"/>
          <w:szCs w:val="26"/>
        </w:rPr>
        <w:t xml:space="preserve">Le biais de survivance : pourquoi les chiffres sont systématiquement flatteurs</w:t>
      </w:r>
    </w:p>
    <w:p>
      <w:pPr>
        <w:spacing w:after="160"/>
        <w:jc w:val="both"/>
      </w:pPr>
      <w:r>
        <w:rPr>
          <w:rFonts w:ascii="Arial" w:cs="Arial" w:eastAsia="Arial" w:hAnsi="Arial"/>
          <w:sz w:val="24"/>
          <w:szCs w:val="24"/>
        </w:rPr>
        <w:t xml:space="preserve">Le biais de survivance est le biais le plus important à comprendre pour évaluer les chiffres du marché de l’art. Les indices Artprice et Mei Moses mesurent uniquement les œuvres effectivement revendues aux enchères — ce qui exclut mécaniquement toutes les œuvres dont le propriétaire a jugé que la revente ne valait pas le prix. Les artistes dont la cote n’a pas progressé ou s’est effondrie ne génèrent pas de transactions secondaires visibles dans les bases de données. C’est l’équivalent, en bourse, de mesurer la performance des marchés actions en n’incluant que les sociétés qui ont survécu et prosperé depuis 20 ans — un biais qui gonflerait considérablement le rendement apparent. Des études académiques estiment que le biais de survivance peut surestimer de 2 à 4 points de pourcentage par an le rendement réel du marché de l’art sur longue période.</w:t>
      </w:r>
    </w:p>
    <w:p>
      <w:pPr>
        <w:pStyle w:val="Heading2"/>
        <w:spacing w:before="360" w:after="200"/>
      </w:pPr>
      <w:r>
        <w:rPr>
          <w:rFonts w:ascii="Arial" w:cs="Arial" w:eastAsia="Arial" w:hAnsi="Arial"/>
          <w:b/>
          <w:bCs/>
          <w:sz w:val="30"/>
          <w:szCs w:val="30"/>
        </w:rPr>
        <w:t xml:space="preserve">Les caractéristiques financières de l’art comme placement</w:t>
      </w:r>
    </w:p>
    <w:p>
      <w:pPr>
        <w:spacing w:after="160"/>
        <w:jc w:val="both"/>
      </w:pPr>
      <w:r>
        <w:rPr>
          <w:rFonts w:ascii="Arial" w:cs="Arial" w:eastAsia="Arial" w:hAnsi="Arial"/>
          <w:sz w:val="24"/>
          <w:szCs w:val="24"/>
        </w:rPr>
        <w:t xml:space="preserve">L’art présente un profil de risque et de rendement spécifique qui le distingue de toutes les autres classes d’actifs. Ces caractéristiques définissent les conditions dans lesquelles il peut avoir sa place dans un portefeuille.</w:t>
      </w:r>
    </w:p>
    <w:p>
      <w:pPr>
        <w:pStyle w:val="Heading3"/>
        <w:spacing w:before="280" w:after="160"/>
      </w:pPr>
      <w:r>
        <w:rPr>
          <w:rFonts w:ascii="Arial" w:cs="Arial" w:eastAsia="Arial" w:hAnsi="Arial"/>
          <w:b/>
          <w:bCs/>
          <w:sz w:val="26"/>
          <w:szCs w:val="26"/>
        </w:rPr>
        <w:t xml:space="preserve">Décorrélation avec les marchés financiers : réelle mais partielle</w:t>
      </w:r>
    </w:p>
    <w:p>
      <w:pPr>
        <w:spacing w:after="160"/>
        <w:jc w:val="both"/>
      </w:pPr>
      <w:r>
        <w:rPr>
          <w:rFonts w:ascii="Arial" w:cs="Arial" w:eastAsia="Arial" w:hAnsi="Arial"/>
          <w:sz w:val="24"/>
          <w:szCs w:val="24"/>
        </w:rPr>
        <w:t xml:space="preserve">L’art est l’un des rares actifs dont la valeur ne suit pas directement les cycles des marchés actions ou obligataires. Lors des crises financières majeures (2008, 2020), le marché de l’art a globalement mieux résisté que les indices boursiers — mais avec un décalage de 12 à 24 mois. La décorrélation n’est pas totale : les grands collectionneurs sont souvent des investisseurs financiers dont la capacité d’achat se contracte en récession profonde, ce qui finit par déprimer le marché de l’art avec retard. Pour un investisseur dont le portefeuille est concentré sur des actions et de l’immobilier, une petite allocation à l’art (5 à 10 % du patrimoine) améliore objectivement le profil de risque global — à condition de choisir des œuvres d’artistes établis avec un marché secondaire documentable.</w:t>
      </w:r>
    </w:p>
    <w:p>
      <w:pPr>
        <w:pStyle w:val="Heading3"/>
        <w:spacing w:before="280" w:after="160"/>
      </w:pPr>
      <w:r>
        <w:rPr>
          <w:rFonts w:ascii="Arial" w:cs="Arial" w:eastAsia="Arial" w:hAnsi="Arial"/>
          <w:b/>
          <w:bCs/>
          <w:sz w:val="26"/>
          <w:szCs w:val="26"/>
        </w:rPr>
        <w:t xml:space="preserve">Liquidité : le défaut structurel le plus important</w:t>
      </w:r>
    </w:p>
    <w:p>
      <w:pPr>
        <w:spacing w:after="160"/>
        <w:jc w:val="both"/>
      </w:pPr>
      <w:r>
        <w:rPr>
          <w:rFonts w:ascii="Arial" w:cs="Arial" w:eastAsia="Arial" w:hAnsi="Arial"/>
          <w:sz w:val="24"/>
          <w:szCs w:val="24"/>
        </w:rPr>
        <w:t xml:space="preserve">La liquidité est le problème fondamental de l’art comme placement financier. Il n’existe pas de marché organisé avec un carnet d’ordres, pas de prix bid-ask transparent, pas de mécanisme garantissant la revente dans un délai défini. Vendre une œuvre prend en moyenne plusieurs mois, parfois plusieurs années pour les pièces de valeur élevée. Un investisseur qui a besoin de liquidités urgentes vendra son art dans de très mauvaises conditions — un marché qui détecte le vendeur contraint et l’exploite systématiquement. Cette caractéristique rend l’art inapproprié comme placement de sécurité ou de précaution, et impose une règle d’allocation stricte : n’investir dans l’art que des fonds dont on est certain de ne pas avoir besoin pendant au moins 10 ans.</w:t>
      </w:r>
    </w:p>
    <w:p>
      <w:pPr>
        <w:pStyle w:val="Heading3"/>
        <w:spacing w:before="280" w:after="160"/>
      </w:pPr>
      <w:r>
        <w:rPr>
          <w:rFonts w:ascii="Arial" w:cs="Arial" w:eastAsia="Arial" w:hAnsi="Arial"/>
          <w:b/>
          <w:bCs/>
          <w:sz w:val="26"/>
          <w:szCs w:val="26"/>
        </w:rPr>
        <w:t xml:space="preserve">Transparence des prix : l’asymétrie d’information</w:t>
      </w:r>
    </w:p>
    <w:p>
      <w:pPr>
        <w:spacing w:after="160"/>
        <w:jc w:val="both"/>
      </w:pPr>
      <w:r>
        <w:rPr>
          <w:rFonts w:ascii="Arial" w:cs="Arial" w:eastAsia="Arial" w:hAnsi="Arial"/>
          <w:sz w:val="24"/>
          <w:szCs w:val="24"/>
        </w:rPr>
        <w:t xml:space="preserve">Le marché de l’art est l’un des moins transparents de tous les marchés d’actifs. Le prix d’une œuvre en galerie est souvent négociable sans que l’acheteur le sache. Deux œuvres du même artiste, de format comparable et de période voisine, peuvent se vendre à des prix très différents selon le contexte, la relation entre le galleriste et l’acheteur, et le moment de la transaction. Les bases de données de prix aux enchères (Artprice, Invaluable) offrent une transparence sur le marché secondaire — mais pas sur le marché primaire (galeries), qui représente la grande majorité des transactions en volume. Cette asymétrie d’information est structurellement défavorable à l’acheteur non expérimenté.</w:t>
      </w:r>
    </w:p>
    <w:p>
      <w:pPr>
        <w:pStyle w:val="Heading3"/>
        <w:spacing w:before="280" w:after="160"/>
      </w:pPr>
      <w:r>
        <w:rPr>
          <w:rFonts w:ascii="Arial" w:cs="Arial" w:eastAsia="Arial" w:hAnsi="Arial"/>
          <w:b/>
          <w:bCs/>
          <w:sz w:val="26"/>
          <w:szCs w:val="26"/>
        </w:rPr>
        <w:t xml:space="preserve">Durée de détention recommandée : 10 à 20 ans minimum</w:t>
      </w:r>
    </w:p>
    <w:p>
      <w:pPr>
        <w:spacing w:after="160"/>
        <w:jc w:val="both"/>
      </w:pPr>
      <w:r>
        <w:rPr>
          <w:rFonts w:ascii="Arial" w:cs="Arial" w:eastAsia="Arial" w:hAnsi="Arial"/>
          <w:sz w:val="24"/>
          <w:szCs w:val="24"/>
        </w:rPr>
        <w:t xml:space="preserve">La durée de détention est le paramètre qui a le plus d’impact sur le rendement net de l’art. Les frais de transaction étant fixes (20 à 30 % combinés à l’entrée et à la sortie), ils sont d’autant plus facilement absorbés que la plus-value brute est grande — ce qui nécessite du temps. Sur 5 ans, les frais représentent un obstacle quasi infranchissable pour générer un rendement net positif. Sur 15 à 20 ans, même une progression modérée de la valeur de l’œuvre peut générer un rendement net acceptable une fois les frais absorbés. Par ailleurs, le régime fiscal de droit commun prévoit une exonération totale de plus-value après 22 ans de détention — un argument supplémentaire en faveur du long terme.</w:t>
      </w:r>
    </w:p>
    <w:p>
      <w:pPr>
        <w:pStyle w:val="Heading2"/>
        <w:spacing w:before="360" w:after="200"/>
      </w:pPr>
      <w:r>
        <w:rPr>
          <w:rFonts w:ascii="Arial" w:cs="Arial" w:eastAsia="Arial" w:hAnsi="Arial"/>
          <w:b/>
          <w:bCs/>
          <w:sz w:val="30"/>
          <w:szCs w:val="30"/>
        </w:rPr>
        <w:t xml:space="preserve">La fiscalité de l’investissement dans l’art</w:t>
      </w:r>
    </w:p>
    <w:p>
      <w:pPr>
        <w:spacing w:after="160"/>
        <w:jc w:val="both"/>
      </w:pPr>
      <w:r>
        <w:rPr>
          <w:rFonts w:ascii="Arial" w:cs="Arial" w:eastAsia="Arial" w:hAnsi="Arial"/>
          <w:sz w:val="24"/>
          <w:szCs w:val="24"/>
        </w:rPr>
        <w:t xml:space="preserve">La fiscalité de l’art est l’un de ses atouts patrimoniaux les plus sérieux — à condition de comprendre les différents régimes disponibles et de choisir le plus adapté à sa situation.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126"/>
        <w:gridCol w:w="1300"/>
        <w:gridCol w:w="34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1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Régime</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Taux effectif</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À retenir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Cession ≤ 5 000 €</w:t>
            </w:r>
          </w:p>
        </w:tc>
        <w:tc>
          <w:tcPr>
            <w:tcW w:type="dxa" w:w="2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Exonération totale</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Seuil par cession, pas annuel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Cession &gt; 5 000 € — option taxe forfaitaire</w:t>
            </w:r>
          </w:p>
        </w:tc>
        <w:tc>
          <w:tcPr>
            <w:tcW w:type="dxa" w:w="2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6,5 % du prix de cession brut</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6,5 %</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Sans justif. du prix d’achat</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Cession &gt; 5 000 € — droit commun &lt; 2 ans</w:t>
            </w:r>
          </w:p>
        </w:tc>
        <w:tc>
          <w:tcPr>
            <w:tcW w:type="dxa" w:w="2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PV × 36,2 %</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36,2 %</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Défavorable sur courte détention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Cession &gt; 5 000 € — droit commun &gt; 12 ans</w:t>
            </w:r>
          </w:p>
        </w:tc>
        <w:tc>
          <w:tcPr>
            <w:tcW w:type="dxa" w:w="2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PV × 36,2 % avec abatt. 50 %</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~18 %</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Abatt. 5 % / an dès la 3e année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Cession &gt; 5 000 € — droit commun &gt; 22 ans</w:t>
            </w:r>
          </w:p>
        </w:tc>
        <w:tc>
          <w:tcPr>
            <w:tcW w:type="dxa" w:w="2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Exonération totale</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Exonération si prix d’achat justifié</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Détention dans assurance-vie</w:t>
            </w:r>
          </w:p>
        </w:tc>
        <w:tc>
          <w:tcPr>
            <w:tcW w:type="dxa" w:w="21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Fiscalité AV après 8 ans</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7,5 % + PS si &gt; 150 k€</w:t>
            </w:r>
          </w:p>
        </w:tc>
        <w:tc>
          <w:tcPr>
            <w:tcW w:type="dxa" w:w="3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Accès indirect via fonds dédiés</w:t>
            </w:r>
          </w:p>
        </w:tc>
      </w:tr>
    </w:tbl>
    <w:p>
      <w:pPr>
        <w:spacing w:before="80" w:after="200"/>
      </w:pPr>
      <w:r>
        <w:rPr>
          <w:rFonts w:ascii="Arial" w:cs="Arial" w:eastAsia="Arial" w:hAnsi="Arial"/>
          <w:i/>
          <w:iCs/>
          <w:color w:val="888888"/>
          <w:sz w:val="18"/>
          <w:szCs w:val="18"/>
        </w:rPr>
        <w:t xml:space="preserve">Régimes fiscaux applicables aux plus-values de cession d’œuvres d’art — données 2026</w:t>
      </w:r>
    </w:p>
    <w:p>
      <w:pPr>
        <w:pStyle w:val="Heading3"/>
        <w:spacing w:before="280" w:after="160"/>
      </w:pPr>
      <w:r>
        <w:rPr>
          <w:rFonts w:ascii="Arial" w:cs="Arial" w:eastAsia="Arial" w:hAnsi="Arial"/>
          <w:b/>
          <w:bCs/>
          <w:sz w:val="26"/>
          <w:szCs w:val="26"/>
        </w:rPr>
        <w:t xml:space="preserve">Exonération pour les cessions inférieures à 5 000 €</w:t>
      </w:r>
    </w:p>
    <w:p>
      <w:pPr>
        <w:spacing w:after="160"/>
        <w:jc w:val="both"/>
      </w:pPr>
      <w:r>
        <w:rPr>
          <w:rFonts w:ascii="Arial" w:cs="Arial" w:eastAsia="Arial" w:hAnsi="Arial"/>
          <w:sz w:val="24"/>
          <w:szCs w:val="24"/>
        </w:rPr>
        <w:t xml:space="preserve">Toute cession d’une œuvre d’art pour un prix inférieur ou égal à 5 000 € est totalement exonérée de plus-value, quelle que soit la durée de détention et quel que soit le gain réalisé. Ce seuil s’apprécie par cession — pas de manière globale sur l’année. Il est particulièrement utile pour les photographies, estampes et œuvres de jeunes artistes dont le marché reste à ce niveau de prix. Un collectionneur qui revend régulièrement des œuvres de faible valeur peut ainsi gérer sa collection de façon fiscalement neutre.</w:t>
      </w:r>
    </w:p>
    <w:p>
      <w:pPr>
        <w:pStyle w:val="Heading3"/>
        <w:spacing w:before="280" w:after="160"/>
      </w:pPr>
      <w:r>
        <w:rPr>
          <w:rFonts w:ascii="Arial" w:cs="Arial" w:eastAsia="Arial" w:hAnsi="Arial"/>
          <w:b/>
          <w:bCs/>
          <w:sz w:val="26"/>
          <w:szCs w:val="26"/>
        </w:rPr>
        <w:t xml:space="preserve">La taxe forfaitaire de 6,5 % sur le prix de cession</w:t>
      </w:r>
    </w:p>
    <w:p>
      <w:pPr>
        <w:spacing w:after="160"/>
        <w:jc w:val="both"/>
      </w:pPr>
      <w:r>
        <w:rPr>
          <w:rFonts w:ascii="Arial" w:cs="Arial" w:eastAsia="Arial" w:hAnsi="Arial"/>
          <w:sz w:val="24"/>
          <w:szCs w:val="24"/>
        </w:rPr>
        <w:t xml:space="preserve">Au-delà de 5 000 €, le vendeur peut opter pour la taxe forfaitaire de 6,5 % calculée sur le prix de cession brut, sans tenir compte du prix d’achat. Cette option est précieuse quand le prix d’achat n’est pas justifiable — œuvre reçue en cadeau, achat sans facture, ou origine ancienne non documentée. Elle est également avantageuse quand la plus-value est élevée par rapport au prix de cession : si une œuvre achetée 1 000 € est revendue 20 000 €, la taxe forfaitaire représente 1 300 € tandis que le régime de droit commun donnerait 36,2 % sur 19 000 € de plus-value, soit 6 878 €. Le choix entre les deux régimes doit être fait au moment de la cession, en fonction de la situation spécifique.</w:t>
      </w:r>
    </w:p>
    <w:p>
      <w:pPr>
        <w:pStyle w:val="Heading3"/>
        <w:spacing w:before="280" w:after="160"/>
      </w:pPr>
      <w:r>
        <w:rPr>
          <w:rFonts w:ascii="Arial" w:cs="Arial" w:eastAsia="Arial" w:hAnsi="Arial"/>
          <w:b/>
          <w:bCs/>
          <w:sz w:val="26"/>
          <w:szCs w:val="26"/>
        </w:rPr>
        <w:t xml:space="preserve">Le régime de droit commun avec abattements pour durée de détention</w:t>
      </w:r>
    </w:p>
    <w:p>
      <w:pPr>
        <w:spacing w:after="160"/>
        <w:jc w:val="both"/>
      </w:pPr>
      <w:r>
        <w:rPr>
          <w:rFonts w:ascii="Arial" w:cs="Arial" w:eastAsia="Arial" w:hAnsi="Arial"/>
          <w:sz w:val="24"/>
          <w:szCs w:val="24"/>
        </w:rPr>
        <w:t xml:space="preserve">Le régime de droit commun (article 150 UA du CGI) impose la plus-value — différence entre prix de cession et prix d’achat justifié — au taux global de 36,2 % (19 % d’impôt sur le revenu et 17,2 % de prélèvements sociaux). Mais ce régime prévoit un abattement de 5 % par année de détention au-delà de la deuxième année, conduisant à une exonération totale après 22 ans. Pour une œuvre détenue 12 ans, l’abattement est de 50 % — le taux effectif tombe à environ 18 %. Ce régime favorise clairement la détention longue et nécessite de conserver le justificatif du prix d’acquisition.</w:t>
      </w:r>
    </w:p>
    <w:p>
      <w:pPr>
        <w:pStyle w:val="Heading3"/>
        <w:spacing w:before="280" w:after="160"/>
      </w:pPr>
      <w:r>
        <w:rPr>
          <w:rFonts w:ascii="Arial" w:cs="Arial" w:eastAsia="Arial" w:hAnsi="Arial"/>
          <w:b/>
          <w:bCs/>
          <w:sz w:val="26"/>
          <w:szCs w:val="26"/>
        </w:rPr>
        <w:t xml:space="preserve">L’exclusion de l’IFI : un avantage réel pour les gros patrimoines</w:t>
      </w:r>
    </w:p>
    <w:p>
      <w:pPr>
        <w:spacing w:after="160"/>
        <w:jc w:val="both"/>
      </w:pPr>
      <w:r>
        <w:rPr>
          <w:rFonts w:ascii="Arial" w:cs="Arial" w:eastAsia="Arial" w:hAnsi="Arial"/>
          <w:sz w:val="24"/>
          <w:szCs w:val="24"/>
        </w:rPr>
        <w:t xml:space="preserve">Les œuvres d’art, objets de collection et antiquités sont expressément exclus de l’assiette de l’impôt sur la fortune immobilière. Pour un investisseur dont le patrimoine immobilier net dépasse 1,3 M € et qui est donc assujetti à l’IFI, chaque euro alloué à l’art est un euro soustrait à l’assiette de cet impôt. Sur un portefeuille art de 100 000 €, l’économie d’IFI annuelle peut représenter 700 à 1 500 € selon le taux marginal applicable. Ce n’est pas le seul actif à bénéficier de cette exclusion — l’or, les bijoux et les collections de monnaies anciennes en bénéficient également — mais c’est l’avantage fiscal le plus concret et le plus immédiat de l’art comme placement pour les investisseurs à gros patrimoine.</w:t>
      </w:r>
    </w:p>
    <w:p>
      <w:pPr>
        <w:pStyle w:val="Heading2"/>
        <w:spacing w:before="360" w:after="200"/>
      </w:pPr>
      <w:r>
        <w:rPr>
          <w:rFonts w:ascii="Arial" w:cs="Arial" w:eastAsia="Arial" w:hAnsi="Arial"/>
          <w:b/>
          <w:bCs/>
          <w:sz w:val="30"/>
          <w:szCs w:val="30"/>
        </w:rPr>
        <w:t xml:space="preserve">Les différents canaux pour investir dans l’art</w:t>
      </w:r>
    </w:p>
    <w:p>
      <w:pPr>
        <w:spacing w:after="160"/>
        <w:jc w:val="both"/>
      </w:pPr>
      <w:r>
        <w:rPr>
          <w:rFonts w:ascii="Arial" w:cs="Arial" w:eastAsia="Arial" w:hAnsi="Arial"/>
          <w:sz w:val="24"/>
          <w:szCs w:val="24"/>
        </w:rPr>
        <w:t xml:space="preserve">L’accès au marché de l’art s’est diversifié ces dernières années. Chaque canal présente un profil de coût, de risque et de liquidité différent qu’il faut comprendre avant de s’engager.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26"/>
        <w:gridCol w:w="2400"/>
        <w:gridCol w:w="2000"/>
        <w:gridCol w:w="14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1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Ticket d’entrée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Frais effectifs</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Liquidité secondaire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Niveau d’expertise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Achat en galerie (marché primaire)</w:t>
            </w:r>
          </w:p>
        </w:tc>
        <w:tc>
          <w:tcPr>
            <w:tcW w:type="dxa" w:w="1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500 – plusieurs M€</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Marge galerie 40 – 60 %</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 (revente via enchères)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Élevé</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Vente aux enchères (marché secondaire)</w:t>
            </w:r>
          </w:p>
        </w:tc>
        <w:tc>
          <w:tcPr>
            <w:tcW w:type="dxa" w:w="1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500 €+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Frais acheteur 15 – 30 % + frais vendeur 10 – 15 %</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Moyenne (délai 3 – 18 mois)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Intermédiaire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Fractionné (plateforme type Matis)</w:t>
            </w:r>
          </w:p>
        </w:tc>
        <w:tc>
          <w:tcPr>
            <w:tcW w:type="dxa" w:w="1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 1 000 €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 – 10 % entrée + 1 – 2 % / an + frais sortie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Très faible (marché secondaire quasi inexistant)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Fonds d’art (FCPR, FPS)</w:t>
            </w:r>
          </w:p>
        </w:tc>
        <w:tc>
          <w:tcPr>
            <w:tcW w:type="dxa" w:w="1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10 000 – 50 000 €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 – 2 % / an + carried interest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Nulle jusqu’à liquidation du fonds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 (délégué)</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NFT (art numérique)</w:t>
            </w:r>
          </w:p>
        </w:tc>
        <w:tc>
          <w:tcPr>
            <w:tcW w:type="dxa" w:w="1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Variable (quelques € à plusieurs k€)</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Frais de transaction blockchain + plateforme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Très faible (marché effondri post-2022)</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Technique</w:t>
            </w:r>
          </w:p>
        </w:tc>
      </w:tr>
    </w:tbl>
    <w:p>
      <w:pPr>
        <w:spacing w:before="80" w:after="200"/>
      </w:pPr>
      <w:r>
        <w:rPr>
          <w:rFonts w:ascii="Arial" w:cs="Arial" w:eastAsia="Arial" w:hAnsi="Arial"/>
          <w:i/>
          <w:iCs/>
          <w:color w:val="888888"/>
          <w:sz w:val="18"/>
          <w:szCs w:val="18"/>
        </w:rPr>
        <w:t xml:space="preserve">Comparatif des canaux d’accès à l’investissement dans l’art — données 2026</w:t>
      </w:r>
    </w:p>
    <w:p>
      <w:pPr>
        <w:pStyle w:val="Heading3"/>
        <w:spacing w:before="280" w:after="160"/>
      </w:pPr>
      <w:r>
        <w:rPr>
          <w:rFonts w:ascii="Arial" w:cs="Arial" w:eastAsia="Arial" w:hAnsi="Arial"/>
          <w:b/>
          <w:bCs/>
          <w:sz w:val="26"/>
          <w:szCs w:val="26"/>
        </w:rPr>
        <w:t xml:space="preserve">L’achat direct en galerie ou aux enchères : le marché physique traditionnel</w:t>
      </w:r>
    </w:p>
    <w:p>
      <w:pPr>
        <w:spacing w:after="160"/>
        <w:jc w:val="both"/>
      </w:pPr>
      <w:r>
        <w:rPr>
          <w:rFonts w:ascii="Arial" w:cs="Arial" w:eastAsia="Arial" w:hAnsi="Arial"/>
          <w:sz w:val="24"/>
          <w:szCs w:val="24"/>
        </w:rPr>
        <w:t xml:space="preserve">L’achat en galerie — marché primaire, directement auprès de l’artiste ou de sa galerie représentante — est le canal le plus courant pour les premiers acheteurs. La galerie conseille, accompagne et assure le suivi de la cote de ses artistes. En contrepartie, elle applique une marge significative qui représente la réalité économique de son travail de promotion d’artiste. Les ventes aux enchères — marché secondaire — offrent une transparence totale des prix (tous les résultats sont publics et indexés dans les bases de données) mais avec des frais acheteur importants. Pour un premier investisseur, la galerie est un meilleur point d’entrée qu’une vente aux enchères : elle offre un conseil que la salle des ventes ne propose pas, et permet d’apprendre à évaluer une œuvre avec un interlocuteur dédié.</w:t>
      </w:r>
    </w:p>
    <w:p>
      <w:pPr>
        <w:pStyle w:val="Heading3"/>
        <w:spacing w:before="280" w:after="160"/>
      </w:pPr>
      <w:r>
        <w:rPr>
          <w:rFonts w:ascii="Arial" w:cs="Arial" w:eastAsia="Arial" w:hAnsi="Arial"/>
          <w:b/>
          <w:bCs/>
          <w:sz w:val="26"/>
          <w:szCs w:val="26"/>
        </w:rPr>
        <w:t xml:space="preserve">L’investissement fractionné : accès à partir de quelques centaines d’euros</w:t>
      </w:r>
    </w:p>
    <w:p>
      <w:pPr>
        <w:spacing w:after="160"/>
        <w:jc w:val="both"/>
      </w:pPr>
      <w:r>
        <w:rPr>
          <w:rFonts w:ascii="Arial" w:cs="Arial" w:eastAsia="Arial" w:hAnsi="Arial"/>
          <w:sz w:val="24"/>
          <w:szCs w:val="24"/>
        </w:rPr>
        <w:t xml:space="preserve">Les plateformes d’investissement fractionné dans l’art — comme Matis en France — permettent d’acquérir des parts d’une œuvre physique pour quelques centaines d’euros. Le mécanisme repose sur la constitution d’une société à objet unique (SPV) qui détient l’œuvre, dont les investisseurs achètent des parts. Ce canal démocratise l’accès à des œuvres de qualité à prix élevé — un avantage réel. Ses limites sont tout aussi réelles : les frais de plateforme à l’entrée (5 à 10 %) s’ajoutent aux frais d’acquisition de l’œuvre, la liquidité du marché secondaire de parts est quasi inexistante dans la pratique, et l’investisseur n’a aucun contrôle sur le moment de revente de l’œuvre. Le fractionné est un accès légitime à l’art pour de petits montants — pas un placement liquide ou flexibles.</w:t>
      </w:r>
    </w:p>
    <w:p>
      <w:pPr>
        <w:pStyle w:val="Heading3"/>
        <w:spacing w:before="280" w:after="160"/>
      </w:pPr>
      <w:r>
        <w:rPr>
          <w:rFonts w:ascii="Arial" w:cs="Arial" w:eastAsia="Arial" w:hAnsi="Arial"/>
          <w:b/>
          <w:bCs/>
          <w:sz w:val="26"/>
          <w:szCs w:val="26"/>
        </w:rPr>
        <w:t xml:space="preserve">Les fonds d’investissement dans l’art : mutualiser le risque</w:t>
      </w:r>
    </w:p>
    <w:p>
      <w:pPr>
        <w:spacing w:after="160"/>
        <w:jc w:val="both"/>
      </w:pPr>
      <w:r>
        <w:rPr>
          <w:rFonts w:ascii="Arial" w:cs="Arial" w:eastAsia="Arial" w:hAnsi="Arial"/>
          <w:sz w:val="24"/>
          <w:szCs w:val="24"/>
        </w:rPr>
        <w:t xml:space="preserve">Les fonds spécialisés dans l’art — structurés comme des FCPR (fonds communs de placement à risques) ou des FPS (fonds professionnels spécialisés) — permettent de mutualiser le risque sur un portefeuille d’œuvres géré par des professionnels. Le ticket d’entrée est généralement de 10 000 à 50 000 €. L’investisseur délègue entièrement la sélection et la gestion — un avantage quand il manque l’expertise. En contrepartie : frais de gestion annuels (1 à 2 %), carried interest sur la performance (15 à 20 % des gains au-delà d’un hurdle rate), et illiquidité totale jusqu’à la liquidation du fonds (horizon de 7 à 10 ans généralement). L’historique de performance de ces fonds en France reste limité et difficile à vérifier de manière indépendante.</w:t>
      </w:r>
    </w:p>
    <w:p>
      <w:pPr>
        <w:pStyle w:val="Heading3"/>
        <w:spacing w:before="280" w:after="160"/>
      </w:pPr>
      <w:r>
        <w:rPr>
          <w:rFonts w:ascii="Arial" w:cs="Arial" w:eastAsia="Arial" w:hAnsi="Arial"/>
          <w:b/>
          <w:bCs/>
          <w:sz w:val="26"/>
          <w:szCs w:val="26"/>
        </w:rPr>
        <w:t xml:space="preserve">Les NFT et l’art numérique : spéculation plutôt qu’investissement</w:t>
      </w:r>
    </w:p>
    <w:p>
      <w:pPr>
        <w:spacing w:after="160"/>
        <w:jc w:val="both"/>
      </w:pPr>
      <w:r>
        <w:rPr>
          <w:rFonts w:ascii="Arial" w:cs="Arial" w:eastAsia="Arial" w:hAnsi="Arial"/>
          <w:sz w:val="24"/>
          <w:szCs w:val="24"/>
        </w:rPr>
        <w:t xml:space="preserve">Le marché des NFT artistiques a connu une bulle spéculative spectaculaire en 2021 et un effondrement encore plus spectaculaire en 2022-2023. La majorité des NFT artistiques achetés au pic de la bulle ont perdu 90 à 100 % de leur valeur. En 2026, le marché des NFT artistiques est confidentiel, les volumes d’échange sont très faibles et la liquidité du marché secondaire est quasi nulle pour la grande majorité des collections. Les NFT sont une innovation technologique intéressante sur le plan de la propriété numérique — pas un canal d’investissement crédible dans l’art en 2026, sauf pour les investisseurs très expérimentés et informés qui acceptent un risque de perte totale.</w:t>
      </w:r>
    </w:p>
    <w:p>
      <w:pPr>
        <w:pStyle w:val="Heading3"/>
        <w:spacing w:before="280" w:after="160"/>
      </w:pPr>
      <w:r>
        <w:rPr>
          <w:rFonts w:ascii="Arial" w:cs="Arial" w:eastAsia="Arial" w:hAnsi="Arial"/>
          <w:b/>
          <w:bCs/>
          <w:sz w:val="26"/>
          <w:szCs w:val="26"/>
        </w:rPr>
        <w:t xml:space="preserve">L’art via l’assurance-vie : une exposition indirecte et limitée</w:t>
      </w:r>
    </w:p>
    <w:p>
      <w:pPr>
        <w:spacing w:after="160"/>
        <w:jc w:val="both"/>
      </w:pPr>
      <w:r>
        <w:rPr>
          <w:rFonts w:ascii="Arial" w:cs="Arial" w:eastAsia="Arial" w:hAnsi="Arial"/>
          <w:sz w:val="24"/>
          <w:szCs w:val="24"/>
        </w:rPr>
        <w:t xml:space="preserve">Certains contrats d’assurance-vie haut de gamme proposent des unités de compte exposées à l’art via des fonds dédiés. Cette exposition est indirecte — l’investisseur ne détient pas d’œuvre physique — et soumise à la fiscalité de l’assurance-vie plutôt qu’au régime spécifique de l’art. Elle permet de combiner l’avantage fiscal de l’assurance-vie (exonération après 8 ans, transmission favorisée) avec une diversification vers l’art — mais les frais cumulés (frais du contrat + frais du fonds art) réduisent significativement le rendement net. Cette option est pertinente pour les investisseurs qui souhaitent une exposition limitée à l’art sans la contrainte d’achat et de gestion d’œuvres physiques.</w:t>
      </w:r>
    </w:p>
    <w:p>
      <w:pPr>
        <w:pStyle w:val="Heading2"/>
        <w:spacing w:before="360" w:after="200"/>
      </w:pPr>
      <w:r>
        <w:rPr>
          <w:rFonts w:ascii="Arial" w:cs="Arial" w:eastAsia="Arial" w:hAnsi="Arial"/>
          <w:b/>
          <w:bCs/>
          <w:sz w:val="30"/>
          <w:szCs w:val="30"/>
        </w:rPr>
        <w:t xml:space="preserve">Combien investir et quelle part de son épargne allouer à l’art ?</w:t>
      </w:r>
    </w:p>
    <w:p>
      <w:pPr>
        <w:spacing w:after="160"/>
        <w:jc w:val="both"/>
      </w:pPr>
      <w:r>
        <w:rPr>
          <w:rFonts w:ascii="Arial" w:cs="Arial" w:eastAsia="Arial" w:hAnsi="Arial"/>
          <w:sz w:val="24"/>
          <w:szCs w:val="24"/>
        </w:rPr>
        <w:t xml:space="preserve">L’allocation à l’art doit être calibrée selon le niveau de patrimoine, l’objectif d’investissement et la capacité à immobiliser des fonds sur le long terme.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26"/>
        <w:gridCol w:w="1300"/>
        <w:gridCol w:w="2400"/>
        <w:gridCol w:w="15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Profil d’épargnant</w:t>
            </w:r>
          </w:p>
        </w:tc>
        <w:tc>
          <w:tcPr>
            <w:tcW w:type="dxa" w:w="1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Patrimoine financier</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Allocation max. art</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Canal recommandé</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Budget minimum conseillé</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Débutant / épargne &lt; 30 k€</w:t>
            </w:r>
          </w:p>
        </w:tc>
        <w:tc>
          <w:tcPr>
            <w:tcW w:type="dxa" w:w="1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30 000 €</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 5 %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Fractionné (Matis) si passion réelle</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 500 €</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Investisseur intermédiaire</w:t>
            </w:r>
          </w:p>
        </w:tc>
        <w:tc>
          <w:tcPr>
            <w:tcW w:type="dxa" w:w="1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30 000 – 200 000 €</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 – 8 %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Achat physique en galerie ou enchères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2 000 – 10 000 €</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Patrimoine élevé</w:t>
            </w:r>
          </w:p>
        </w:tc>
        <w:tc>
          <w:tcPr>
            <w:tcW w:type="dxa" w:w="1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200 000 – 500 000 €</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 – 10 %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Galerie + conseil indépendant + enchères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10 000 – 50 000 €</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Grand patrimoine / dirigeant</w:t>
            </w:r>
          </w:p>
        </w:tc>
        <w:tc>
          <w:tcPr>
            <w:tcW w:type="dxa" w:w="1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&gt; 500 000 €</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 – 10 %</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Marché primaire établi + conseil expert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50 000 €+</w:t>
            </w:r>
          </w:p>
        </w:tc>
      </w:tr>
    </w:tbl>
    <w:p>
      <w:pPr>
        <w:spacing w:before="80" w:after="200"/>
      </w:pPr>
      <w:r>
        <w:rPr>
          <w:rFonts w:ascii="Arial" w:cs="Arial" w:eastAsia="Arial" w:hAnsi="Arial"/>
          <w:i/>
          <w:iCs/>
          <w:color w:val="888888"/>
          <w:sz w:val="18"/>
          <w:szCs w:val="18"/>
        </w:rPr>
        <w:t xml:space="preserve">Recommandations d’allocation à l’art selon le profil d’épargnant — données indicatives 2026</w:t>
      </w:r>
    </w:p>
    <w:p>
      <w:pPr>
        <w:pStyle w:val="Heading3"/>
        <w:spacing w:before="280" w:after="160"/>
      </w:pPr>
      <w:r>
        <w:rPr>
          <w:rFonts w:ascii="Arial" w:cs="Arial" w:eastAsia="Arial" w:hAnsi="Arial"/>
          <w:b/>
          <w:bCs/>
          <w:sz w:val="26"/>
          <w:szCs w:val="26"/>
        </w:rPr>
        <w:t xml:space="preserve">L’art comme actif de diversification : pas un placement de cœur de portefeuille</w:t>
      </w:r>
    </w:p>
    <w:p>
      <w:pPr>
        <w:spacing w:after="160"/>
        <w:jc w:val="both"/>
      </w:pPr>
      <w:r>
        <w:rPr>
          <w:rFonts w:ascii="Arial" w:cs="Arial" w:eastAsia="Arial" w:hAnsi="Arial"/>
          <w:sz w:val="24"/>
          <w:szCs w:val="24"/>
        </w:rPr>
        <w:t xml:space="preserve">L’art ne doit jamais constituer le cœur d’un portefeuille d’épargne. Ses défauts structurels — illiquidité, frais de transaction élevés, absence de rendement courant (dividende, loyer) — le rendent inadapté à ce rôle. Il s’agit d’un actif de diversification à allouer après avoir constitué les fondations d’un patrimoine : une épargne de précaution liquide (3 à 6 mois de dépenses), un fonds en euros ou des obligations pour la sécurité, et une allocation principale en actions et / ou immobilier pour le rendement. L’art vient en complément, jamais en substitution.</w:t>
      </w:r>
    </w:p>
    <w:p>
      <w:pPr>
        <w:pStyle w:val="Heading3"/>
        <w:spacing w:before="280" w:after="160"/>
      </w:pPr>
      <w:r>
        <w:rPr>
          <w:rFonts w:ascii="Arial" w:cs="Arial" w:eastAsia="Arial" w:hAnsi="Arial"/>
          <w:b/>
          <w:bCs/>
          <w:sz w:val="26"/>
          <w:szCs w:val="26"/>
        </w:rPr>
        <w:t xml:space="preserve">Budget minimum pour un marché liquide</w:t>
      </w:r>
    </w:p>
    <w:p>
      <w:pPr>
        <w:spacing w:after="160"/>
        <w:jc w:val="both"/>
      </w:pPr>
      <w:r>
        <w:rPr>
          <w:rFonts w:ascii="Arial" w:cs="Arial" w:eastAsia="Arial" w:hAnsi="Arial"/>
          <w:sz w:val="24"/>
          <w:szCs w:val="24"/>
        </w:rPr>
        <w:t xml:space="preserve">Le budget minimum pour accéder à un marché secondaire avec une liquidité raisonnable est d’environ 5 000 à 10 000 € par œuvre pour l’art contemporain établi sur le marché français, et de 2 000 à 5 000 € pour la photographie d’auteur et les estampes originales tirées en édition limitée. En dessous de 2 000 € par œuvre, le marché secondaire est très étroit et la revente difficultéé. Le fractionné permet d’investir avec moins de 1 000 €, mais au prix d’une liquidité encore plus faible. Un collectionneurinvestisseur devrait viser à conserver moins de 10 œuvres bien sélectionnées plutôt qu’une multitude de petites acquisitions dont la liquidité cumulée sera nulle.</w:t>
      </w:r>
    </w:p>
    <w:p>
      <w:pPr>
        <w:pStyle w:val="Heading3"/>
        <w:spacing w:before="280" w:after="160"/>
      </w:pPr>
      <w:r>
        <w:rPr>
          <w:rFonts w:ascii="Arial" w:cs="Arial" w:eastAsia="Arial" w:hAnsi="Arial"/>
          <w:b/>
          <w:bCs/>
          <w:sz w:val="26"/>
          <w:szCs w:val="26"/>
        </w:rPr>
        <w:t xml:space="preserve">Les erreurs d’allocation les plus fréquentes</w:t>
      </w:r>
    </w:p>
    <w:p>
      <w:pPr>
        <w:spacing w:after="160"/>
        <w:jc w:val="both"/>
      </w:pPr>
      <w:r>
        <w:rPr>
          <w:rFonts w:ascii="Arial" w:cs="Arial" w:eastAsia="Arial" w:hAnsi="Arial"/>
          <w:sz w:val="24"/>
          <w:szCs w:val="24"/>
        </w:rPr>
        <w:t xml:space="preserve">Quatre erreurs d’allocation reviennent systématiquement. Investir dans l’art avant d’avoir constitué les bases d’un patrimoine liquide — une œuvre d’art ne peut pas remplacer une épargne de précaution. Dépasser 10 à 15 % du patrimoine global en actifs illiquides non immobiliers — art inclus — sans avoir intégré le risque d’illiquidité. Acheter une œuvre en comptant la revendre dans 3 à 5 ans — un horizon trop court pour absorber les frais de transaction. Et confondre la valeur esthétique d’une œuvre (subjective, personnelle) avec sa valeur marchande (objective, déterminée par le marché secondaire).</w:t>
      </w:r>
    </w:p>
    <w:p>
      <w:pPr>
        <w:pStyle w:val="Heading2"/>
        <w:spacing w:before="360" w:after="200"/>
      </w:pPr>
      <w:r>
        <w:rPr>
          <w:rFonts w:ascii="Arial" w:cs="Arial" w:eastAsia="Arial" w:hAnsi="Arial"/>
          <w:b/>
          <w:bCs/>
          <w:sz w:val="30"/>
          <w:szCs w:val="30"/>
        </w:rPr>
        <w:t xml:space="preserve">Par où commencer concrètement ?</w:t>
      </w:r>
    </w:p>
    <w:p>
      <w:pPr>
        <w:spacing w:after="160"/>
        <w:jc w:val="both"/>
      </w:pPr>
      <w:r>
        <w:rPr>
          <w:rFonts w:ascii="Arial" w:cs="Arial" w:eastAsia="Arial" w:hAnsi="Arial"/>
          <w:sz w:val="24"/>
          <w:szCs w:val="24"/>
        </w:rPr>
        <w:t xml:space="preserve">L’investissement dans l’art ne s’improvise pas. Quatre étapes permettent d’aborder le marché dans de bonnes conditions.</w:t>
      </w:r>
    </w:p>
    <w:p>
      <w:pPr>
        <w:pStyle w:val="Heading3"/>
        <w:spacing w:before="280" w:after="160"/>
      </w:pPr>
      <w:r>
        <w:rPr>
          <w:rFonts w:ascii="Arial" w:cs="Arial" w:eastAsia="Arial" w:hAnsi="Arial"/>
          <w:b/>
          <w:bCs/>
          <w:sz w:val="26"/>
          <w:szCs w:val="26"/>
        </w:rPr>
        <w:t xml:space="preserve">Étape 1 — Définir son objectif : passion, diversification ou rendement pur</w:t>
      </w:r>
    </w:p>
    <w:p>
      <w:pPr>
        <w:spacing w:after="160"/>
        <w:jc w:val="both"/>
      </w:pPr>
      <w:r>
        <w:rPr>
          <w:rFonts w:ascii="Arial" w:cs="Arial" w:eastAsia="Arial" w:hAnsi="Arial"/>
          <w:sz w:val="24"/>
          <w:szCs w:val="24"/>
        </w:rPr>
        <w:t xml:space="preserve">La première étape est de définir honnêtement pourquoi on souhaite investir dans l’art. Trois objectifs distincts appellent des stratégies d’achat différentes. L’achat par passion esthétique : acheter ce qu’on aime, sans contrainte de liquidité ni d’horizon de revente — la stratégie la plus simple et souvent la plus satisfaisante. La diversification patrimoniale : privilégier des artistes établis avec un marché secondaire documentable, viser des œuvres représentatives de leur production, et conserver une documentation complète d’acquisition. Le rendement financier pur : la stratégie la plus difficile à exécuter, qui nécessite une expertise pointue du marché, un réseau de professionnels (galeristes, commissaires-priseurs, experts), et une capacité à identifier les artistes à fort potentiel avant que leur cote ne soit établie.</w:t>
      </w:r>
    </w:p>
    <w:p>
      <w:pPr>
        <w:pStyle w:val="Heading3"/>
        <w:spacing w:before="280" w:after="160"/>
      </w:pPr>
      <w:r>
        <w:rPr>
          <w:rFonts w:ascii="Arial" w:cs="Arial" w:eastAsia="Arial" w:hAnsi="Arial"/>
          <w:b/>
          <w:bCs/>
          <w:sz w:val="26"/>
          <w:szCs w:val="26"/>
        </w:rPr>
        <w:t xml:space="preserve">Étape 2 — Choisir son segment de marché selon son budget</w:t>
      </w:r>
    </w:p>
    <w:p>
      <w:pPr>
        <w:spacing w:after="160"/>
        <w:jc w:val="both"/>
      </w:pPr>
      <w:r>
        <w:rPr>
          <w:rFonts w:ascii="Arial" w:cs="Arial" w:eastAsia="Arial" w:hAnsi="Arial"/>
          <w:sz w:val="24"/>
          <w:szCs w:val="24"/>
        </w:rPr>
        <w:t xml:space="preserve">Chaque segment du marché de l’art a un profil de risque, de rendement et de liquidité différent. L’art contemporain établi (artistes ayant une cote consolidée sur le marché secondaire, représentés par des galeries de premier rang) offre le meilleur compromis entre rendement prévisible et liquidité relative pour des budgets de 5 000 à 50 000 €. La photographie d’auteur (tirée à moins de 30 exemplaires signés et numérotés) et les estampes originales permettent d’accéder à des artistes reconnus pour des budgets de 2 000 à 10 000 €. L’art émergent (jeunes artistes sans marché secondaire établi) offre le potentiel de rendement le plus élevé mais avec un taux d’échec très important — à réserver à une fraction marginale du budget collection.</w:t>
      </w:r>
    </w:p>
    <w:p>
      <w:pPr>
        <w:pStyle w:val="Heading3"/>
        <w:spacing w:before="280" w:after="160"/>
      </w:pPr>
      <w:r>
        <w:rPr>
          <w:rFonts w:ascii="Arial" w:cs="Arial" w:eastAsia="Arial" w:hAnsi="Arial"/>
          <w:b/>
          <w:bCs/>
          <w:sz w:val="26"/>
          <w:szCs w:val="26"/>
        </w:rPr>
        <w:t xml:space="preserve">Étape 3 — S’informer sur l’artiste et documenter l’acquisition</w:t>
      </w:r>
    </w:p>
    <w:p>
      <w:pPr>
        <w:spacing w:after="160"/>
        <w:jc w:val="both"/>
      </w:pPr>
      <w:r>
        <w:rPr>
          <w:rFonts w:ascii="Arial" w:cs="Arial" w:eastAsia="Arial" w:hAnsi="Arial"/>
          <w:sz w:val="24"/>
          <w:szCs w:val="24"/>
        </w:rPr>
        <w:t xml:space="preserve">Avant tout achat, trois vérifications s’imposent. Vérifier la cote de l’artiste sur les bases de données de prix aux enchères (Artprice) pour s’assurer qu’un marché secondaire existe. Vérifier la cohérence entre le prix demandé et les prix observés aux enchères pour des œuvres comparables. Conserver scrupuleusement toute la documentation d’acquisition : facture d’achat (indispensable pour le régime de droit commun des plus-values), certificat d’authenticité, correspondances avec la galerie. Cette documentation a une valeur fiscale et juridique directe — son absence peut coûter plusieurs milliers d’euros au moment de la revente.</w:t>
      </w:r>
    </w:p>
    <w:p>
      <w:pPr>
        <w:pStyle w:val="Heading3"/>
        <w:spacing w:before="280" w:after="160"/>
      </w:pPr>
      <w:r>
        <w:rPr>
          <w:rFonts w:ascii="Arial" w:cs="Arial" w:eastAsia="Arial" w:hAnsi="Arial"/>
          <w:b/>
          <w:bCs/>
          <w:sz w:val="26"/>
          <w:szCs w:val="26"/>
        </w:rPr>
        <w:t xml:space="preserve">Étape 4 — Prévoir les conditions de sortie avant d’acheter</w:t>
      </w:r>
    </w:p>
    <w:p>
      <w:pPr>
        <w:spacing w:after="160"/>
        <w:jc w:val="both"/>
      </w:pPr>
      <w:r>
        <w:rPr>
          <w:rFonts w:ascii="Arial" w:cs="Arial" w:eastAsia="Arial" w:hAnsi="Arial"/>
          <w:sz w:val="24"/>
          <w:szCs w:val="24"/>
        </w:rPr>
        <w:t xml:space="preserve">L’erreur la plus fréquente des primo-acheteurs est d’acheter sans anticiper comment et quand ils pourront revendre. Avant tout achat dans une optique d’investissement, il faut identifier le canal de revente naturel pour cette œuvre : une œuvre d’un artiste dont la cote est exclusivement sur le marché primaire français ne se revendra pas facilement dans une grande maison de ventes internationale. Vérifier que la galerie a une politique de réseau secondaire (certaines galeries aident leurs acheteurs à revendre). Identifier les maisons de ventes spécialisées dans le segment de l’artiste. Et accepter d’avance l’incertitude sur le prix de revente — qui est inévitable dans tout investissement en art.</w:t>
      </w:r>
    </w:p>
    <w:p>
      <w:pPr>
        <w:pStyle w:val="Heading2"/>
        <w:spacing w:before="360" w:after="200"/>
      </w:pPr>
      <w:r>
        <w:rPr>
          <w:rFonts w:ascii="Arial" w:cs="Arial" w:eastAsia="Arial" w:hAnsi="Arial"/>
          <w:b/>
          <w:bCs/>
          <w:sz w:val="30"/>
          <w:szCs w:val="30"/>
        </w:rPr>
        <w:t xml:space="preserve">L’art vs les autres placements alternatifs : comparaison objective</w:t>
      </w:r>
    </w:p>
    <w:p>
      <w:pPr>
        <w:spacing w:after="160"/>
        <w:jc w:val="both"/>
      </w:pPr>
      <w:r>
        <w:rPr>
          <w:rFonts w:ascii="Arial" w:cs="Arial" w:eastAsia="Arial" w:hAnsi="Arial"/>
          <w:sz w:val="24"/>
          <w:szCs w:val="24"/>
        </w:rPr>
        <w:t xml:space="preserve">L’art s’inscrit dans un univers plus large de placements alternatifs aux profils variés. Comprendre ses caractéristiques relatives permet de décider si et comment il s’intègre dans un portefeuille.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71"/>
        <w:gridCol w:w="800"/>
        <w:gridCol w:w="1000"/>
        <w:gridCol w:w="1671"/>
        <w:gridCol w:w="1384"/>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117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Art (physique)</w:t>
            </w:r>
          </w:p>
        </w:tc>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Or</w:t>
            </w:r>
          </w:p>
        </w:tc>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SCPI</w:t>
            </w:r>
          </w:p>
        </w:tc>
        <w:tc>
          <w:tcPr>
            <w:tcW w:type="dxa" w:w="1671"/>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Private equity</w:t>
            </w:r>
          </w:p>
        </w:tc>
        <w:tc>
          <w:tcPr>
            <w:tcW w:type="dxa" w:w="138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 actions (CAC 40)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Rendement annuel brut moyen</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 – 7 %</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4 – 6 %</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4 – 5 %</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 – 15 %</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7 – 9 %</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Rendement net de frais estimé</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 3 %</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 – 5 %</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3 – 4 %</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8 – 12 %</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6 – 8 %</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Liquidité</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Très faible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Élevée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Moyenne</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Très faible</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Très élevée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Frais de transaction</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 – 30 %</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 – 3 %</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8 – 10 %</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2 – 4 % + carried</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0,1 – 0,5 %</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Ticket d’entrée minimal</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1 000 € (fractionné)</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1 000 €</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50 000 €+</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1 € (ETF)</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Corrélation marchés financiers</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Partielle</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Partielle</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Niveau d’expertise requis</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Élevé</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Élevé</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Faible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Avantage fiscal spécifique</w:t>
            </w:r>
          </w:p>
        </w:tc>
        <w:tc>
          <w:tcPr>
            <w:tcW w:type="dxa" w:w="11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IFI + fiscalité PV favorable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Taxe forfaitaire 11,5 %</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Déficit foncier</w:t>
            </w:r>
          </w:p>
        </w:tc>
        <w:tc>
          <w:tcPr>
            <w:tcW w:type="dxa" w:w="1671"/>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PEA-PME</w:t>
            </w:r>
          </w:p>
        </w:tc>
        <w:tc>
          <w:tcPr>
            <w:tcW w:type="dxa" w:w="1384"/>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222222"/>
                <w:sz w:val="20"/>
                <w:szCs w:val="20"/>
              </w:rPr>
              <w:t xml:space="preserve">PEA, assurance-vie</w:t>
            </w:r>
          </w:p>
        </w:tc>
      </w:tr>
    </w:tbl>
    <w:p>
      <w:pPr>
        <w:spacing w:before="80" w:after="200"/>
      </w:pPr>
      <w:r>
        <w:rPr>
          <w:rFonts w:ascii="Arial" w:cs="Arial" w:eastAsia="Arial" w:hAnsi="Arial"/>
          <w:i/>
          <w:iCs/>
          <w:color w:val="888888"/>
          <w:sz w:val="18"/>
          <w:szCs w:val="18"/>
        </w:rPr>
        <w:t xml:space="preserve">Comparatif des placements alternatifs — données indicatives 2026</w:t>
      </w:r>
    </w:p>
    <w:p>
      <w:pPr>
        <w:pStyle w:val="Heading3"/>
        <w:spacing w:before="280" w:after="160"/>
      </w:pPr>
      <w:r>
        <w:rPr>
          <w:rFonts w:ascii="Arial" w:cs="Arial" w:eastAsia="Arial" w:hAnsi="Arial"/>
          <w:b/>
          <w:bCs/>
          <w:sz w:val="26"/>
          <w:szCs w:val="26"/>
        </w:rPr>
        <w:t xml:space="preserve">Art vs or : deux actifs décorrélés aux profils très différents</w:t>
      </w:r>
    </w:p>
    <w:p>
      <w:pPr>
        <w:spacing w:after="160"/>
        <w:jc w:val="both"/>
      </w:pPr>
      <w:r>
        <w:rPr>
          <w:rFonts w:ascii="Arial" w:cs="Arial" w:eastAsia="Arial" w:hAnsi="Arial"/>
          <w:sz w:val="24"/>
          <w:szCs w:val="24"/>
        </w:rPr>
        <w:t xml:space="preserve">L’art et l’or partagent deux caractéristiques : la décorrélation avec les marchés financiers et l’exclusion de l’IFI. Mais leurs profils divergent radicalement sur la liquidité et les frais. L’or physique se vend en quelques heures à un prix de marché mondial transparent, avec des frais de transaction de 1 à 3 %. L’art se vend en plusieurs mois à un prix opaque et négocié, avec des frais de 20 à 30 %. L’or est un actif de réserve de valeur et de couverture crise — l’art est un actif de long terme patrimonial. Pour un investisseur qui cherche avant tout une couverture contre l’incertitude financière, l’or est supérieur à l’art sur le plan purement financier. Pour un investisseur qui cherche à combiner dimension culturelle et diversification patrimoniale sur très long terme, l’art complète utilement l’or.</w:t>
      </w:r>
    </w:p>
    <w:p>
      <w:pPr>
        <w:pStyle w:val="Heading3"/>
        <w:spacing w:before="280" w:after="160"/>
      </w:pPr>
      <w:r>
        <w:rPr>
          <w:rFonts w:ascii="Arial" w:cs="Arial" w:eastAsia="Arial" w:hAnsi="Arial"/>
          <w:b/>
          <w:bCs/>
          <w:sz w:val="26"/>
          <w:szCs w:val="26"/>
        </w:rPr>
        <w:t xml:space="preserve">Art vs SCPI : rendement comparable, liquidité incomparable</w:t>
      </w:r>
    </w:p>
    <w:p>
      <w:pPr>
        <w:spacing w:after="160"/>
        <w:jc w:val="both"/>
      </w:pPr>
      <w:r>
        <w:rPr>
          <w:rFonts w:ascii="Arial" w:cs="Arial" w:eastAsia="Arial" w:hAnsi="Arial"/>
          <w:sz w:val="24"/>
          <w:szCs w:val="24"/>
        </w:rPr>
        <w:t xml:space="preserve">Les SCPI affichent un rendement brut de 4 à 5 % par an avec une liquidité supérieure à l’art physique (marché secondaire organisé, possibilité de rachat par la société de gestion sous conditions), des frais de transaction de 8 à 10 % à l’entrée et un revenu courant distribué régulièrement (4 à 5 % par an). L’art n’offre aucun revenu courant — toute la performance est en plus-value latente. Pour un investisseur qui recherche un complément de revenu passif, les SCPI sont structurellement supérieures. Pour un investisseur qui souhaite une diversification hors immobilier (déjà bien représenté dans leur patrimoine via leur résidence principale), l’art offre une décorrélation que les SCPI ne procurent pas.</w:t>
      </w:r>
    </w:p>
    <w:p>
      <w:pPr>
        <w:pStyle w:val="Heading3"/>
        <w:spacing w:before="280" w:after="160"/>
      </w:pPr>
      <w:r>
        <w:rPr>
          <w:rFonts w:ascii="Arial" w:cs="Arial" w:eastAsia="Arial" w:hAnsi="Arial"/>
          <w:b/>
          <w:bCs/>
          <w:sz w:val="26"/>
          <w:szCs w:val="26"/>
        </w:rPr>
        <w:t xml:space="preserve">Quand l’art a sa place dans un portefeuille</w:t>
      </w:r>
    </w:p>
    <w:p>
      <w:pPr>
        <w:spacing w:after="160"/>
        <w:jc w:val="both"/>
      </w:pPr>
      <w:r>
        <w:rPr>
          <w:rFonts w:ascii="Arial" w:cs="Arial" w:eastAsia="Arial" w:hAnsi="Arial"/>
          <w:sz w:val="24"/>
          <w:szCs w:val="24"/>
        </w:rPr>
        <w:t xml:space="preserve">L’art a sa place dans un portefeuille dans trois configurations spécifiques. Pour l’investisseur déjà assujetti à l’IFI (patrimoine immobilier net &gt; 1,3 M €) : l’exclusion de l’art de l’assiette IFI représente une économie annuelle immédiate qui améliore le rendement net de toute allocation à l’art. Pour l’investisseur dont le patrimoine est fortement concentré sur des actifs financiers (actions, obligations) et qui cherche à réduire la corrélation de son portefeuille global : une allocation de 5 à 10 % à l’art améliore objectivement le profil de risque, à condition de choisir des œuvres d’artistes établis avec un marché secondaire documentable. Et pour l’investisseur passionné d’art qui accepte de combiner plaisir esthétique et ambition patrimoniale : la passion est le meilleur moteur pour développer l’expertise nécessaire à une sélection performante.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16213e"/>
      <w:sz w:val="30"/>
      <w:szCs w:val="30"/>
    </w:rPr>
  </w:style>
  <w:style w:type="paragraph" w:styleId="Heading3">
    <w:name w:val="Heading 3"/>
    <w:basedOn w:val="Normal"/>
    <w:next w:val="Normal"/>
    <w:qFormat/>
    <w:pPr>
      <w:spacing w:before="280" w:after="16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2026-02-23T16:09:17.681Z</dcterms:created>
  <dcterms:modified xsi:type="dcterms:W3CDTF">2026-02-23T16:09:17.683Z</dcterms:modified>
</cp:coreProperties>
</file>

<file path=docProps/custom.xml><?xml version="1.0" encoding="utf-8"?>
<Properties xmlns="http://schemas.openxmlformats.org/officeDocument/2006/custom-properties" xmlns:vt="http://schemas.openxmlformats.org/officeDocument/2006/docPropsVTypes"/>
</file>