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6130F"/>
          <w:sz w:val="40"/>
          <w:szCs w:val="40"/>
        </w:rPr>
        <w:t xml:space="preserve">InRealArt — Audit V2 et plan d’action</w:t>
      </w:r>
    </w:p>
    <w:p>
      <w:pPr>
        <w:spacing w:after="60" w:before="0" w:line="276"/>
      </w:pPr>
      <w:r>
        <w:rPr>
          <w:rFonts w:ascii="Calibri" w:cs="Calibri" w:eastAsia="Calibri" w:hAnsi="Calibri"/>
          <w:color w:val="5E574C"/>
          <w:sz w:val="19"/>
          <w:szCs w:val="19"/>
        </w:rPr>
        <w:t xml:space="preserve">Brief développeur · 15 octobre 2026 · version courte qui remplace les documents « Audit V1 » et « Audit V2 »</w:t>
      </w:r>
    </w:p>
    <w:p>
      <w:pPr>
        <w:pBdr>
          <w:bottom w:val="single" w:color="8A6420" w:sz="8" w:space="4"/>
        </w:pBdr>
        <w:spacing w:after="200"/>
      </w:pPr>
    </w:p>
    <w:p>
      <w:pPr>
        <w:pStyle w:val="Heading1"/>
        <w:spacing w:after="120" w:before="280"/>
      </w:pPr>
      <w:r>
        <w:rPr>
          <w:rFonts w:ascii="Calibri" w:cs="Calibri" w:eastAsia="Calibri" w:hAnsi="Calibri"/>
          <w:b/>
          <w:bCs/>
          <w:color w:val="16130F"/>
          <w:sz w:val="28"/>
          <w:szCs w:val="28"/>
        </w:rPr>
        <w:t xml:space="preserve">1. En bref</w:t>
      </w:r>
    </w:p>
    <w:p>
      <w:pPr>
        <w:spacing w:after="120" w:before="0" w:line="276"/>
      </w:pPr>
      <w:r>
        <w:rPr>
          <w:rFonts w:ascii="Calibri" w:cs="Calibri" w:eastAsia="Calibri" w:hAnsi="Calibri"/>
          <w:b/>
          <w:bCs/>
          <w:color w:val="16130F"/>
          <w:sz w:val="20"/>
          <w:szCs w:val="20"/>
        </w:rPr>
        <w:t xml:space="preserve">Le travail éditorial a beaucoup avancé depuis le premier audit, mais le socle technique n’a pas bougé. </w:t>
      </w:r>
      <w:r>
        <w:rPr>
          <w:rFonts w:ascii="Calibri" w:cs="Calibri" w:eastAsia="Calibri" w:hAnsi="Calibri"/>
          <w:color w:val="16130F"/>
          <w:sz w:val="20"/>
          <w:szCs w:val="20"/>
        </w:rPr>
        <w:t xml:space="preserve">11 pages affichent de nouvelles FAQ et le vocabulaire Web3 a disparu des FAQ. En revanche, les fiches artistes et œuvres restent peu visibles pour Google, la fiche œuvre ne permet pas d’acheter et les anomalies SEO relevées en V1 sont toujours en ligne. Note globale estimée : 2,2 / 5 en V1, 2,5 / 5 aujourd’hui.</w:t>
      </w:r>
    </w:p>
    <w:p>
      <w:pPr>
        <w:spacing w:after="120" w:before="0" w:line="276"/>
      </w:pPr>
      <w:r>
        <w:rPr>
          <w:rFonts w:ascii="Calibri" w:cs="Calibri" w:eastAsia="Calibri" w:hAnsi="Calibri"/>
          <w:b/>
          <w:bCs/>
          <w:color w:val="16130F"/>
          <w:sz w:val="20"/>
          <w:szCs w:val="20"/>
        </w:rPr>
        <w:t xml:space="preserve">Priorité absolue : </w:t>
      </w:r>
      <w:r>
        <w:rPr>
          <w:rFonts w:ascii="Calibri" w:cs="Calibri" w:eastAsia="Calibri" w:hAnsi="Calibri"/>
          <w:color w:val="16130F"/>
          <w:sz w:val="20"/>
          <w:szCs w:val="20"/>
        </w:rPr>
        <w:t xml:space="preserve">le cache. Consultées normalement, plusieurs pages (accueil, équipe, fiches artistes) renvoyaient encore l’ancienne version le 15 octobre à 5 h ; avec un paramètre anti-cache, la nouvelle version apparaît. Google et une partie des visiteurs voient donc peut-être encore l’ancien contenu, NFT compris (ticket IRA-22).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5066"/>
      </w:tblGrid>
      <w:tr>
        <w:trPr>
          <w:tblHeader/>
        </w:trPr>
        <w:tc>
          <w:tcPr>
            <w:tcW w:type="dxa" w:w="30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Axe</w:t>
            </w:r>
          </w:p>
        </w:tc>
        <w:tc>
          <w:tcPr>
            <w:tcW w:type="dxa" w:w="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V1</w:t>
            </w:r>
          </w:p>
        </w:tc>
        <w:tc>
          <w:tcPr>
            <w:tcW w:type="dxa" w:w="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V2</w:t>
            </w:r>
          </w:p>
        </w:tc>
        <w:tc>
          <w:tcPr>
            <w:tcW w:type="dxa" w:w="5066"/>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Ce qui a changé</w:t>
            </w:r>
          </w:p>
        </w:tc>
      </w:tr>
      <w:tr>
        <w:trPr>
          <w:cantSplit/>
        </w:trPr>
        <w:tc>
          <w:tcPr>
            <w:tcW w:type="dxa" w:w="3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Positionnement et proposition de valeur</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2</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w:t>
            </w:r>
          </w:p>
        </w:tc>
        <w:tc>
          <w:tcPr>
            <w:tcW w:type="dxa" w:w="5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Écosystème à 4 métiers expliqué dans les FAQ ; accroche de l’accueil inchangée</w:t>
            </w:r>
          </w:p>
        </w:tc>
      </w:tr>
      <w:tr>
        <w:trPr>
          <w:cantSplit/>
        </w:trPr>
        <w:tc>
          <w:tcPr>
            <w:tcW w:type="dxa" w:w="3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Architecture de l’information</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2</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2</w:t>
            </w:r>
          </w:p>
        </w:tc>
        <w:tc>
          <w:tcPr>
            <w:tcW w:type="dxa" w:w="5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Menu, sitemap et doublons d’URL inchangés</w:t>
            </w:r>
          </w:p>
        </w:tc>
      </w:tr>
      <w:tr>
        <w:trPr>
          <w:cantSplit/>
        </w:trPr>
        <w:tc>
          <w:tcPr>
            <w:tcW w:type="dxa" w:w="3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SEO technique</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1,5</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1,5</w:t>
            </w:r>
          </w:p>
        </w:tc>
        <w:tc>
          <w:tcPr>
            <w:tcW w:type="dxa" w:w="5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Aucun ticket technique livré</w:t>
            </w:r>
          </w:p>
        </w:tc>
      </w:tr>
      <w:tr>
        <w:trPr>
          <w:cantSplit/>
        </w:trPr>
        <w:tc>
          <w:tcPr>
            <w:tcW w:type="dxa" w:w="3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SEO éditorial</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3,5</w:t>
            </w:r>
          </w:p>
        </w:tc>
        <w:tc>
          <w:tcPr>
            <w:tcW w:type="dxa" w:w="5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FAQ spécifiques par page sur 11 pages</w:t>
            </w:r>
          </w:p>
        </w:tc>
      </w:tr>
      <w:tr>
        <w:trPr>
          <w:cantSplit/>
        </w:trPr>
        <w:tc>
          <w:tcPr>
            <w:tcW w:type="dxa" w:w="3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Design et identité</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3,5</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3,5</w:t>
            </w:r>
          </w:p>
        </w:tc>
        <w:tc>
          <w:tcPr>
            <w:tcW w:type="dxa" w:w="5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Inchangé</w:t>
            </w:r>
          </w:p>
        </w:tc>
      </w:tr>
      <w:tr>
        <w:trPr>
          <w:cantSplit/>
        </w:trPr>
        <w:tc>
          <w:tcPr>
            <w:tcW w:type="dxa" w:w="3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UX et conversion</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1,5</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1,5</w:t>
            </w:r>
          </w:p>
        </w:tc>
        <w:tc>
          <w:tcPr>
            <w:tcW w:type="dxa" w:w="5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Fiche œuvre sans achat, aucune réassurance</w:t>
            </w:r>
          </w:p>
        </w:tc>
      </w:tr>
      <w:tr>
        <w:trPr>
          <w:cantSplit/>
        </w:trPr>
        <w:tc>
          <w:tcPr>
            <w:tcW w:type="dxa" w:w="3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Wording</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2,5</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w:t>
            </w:r>
          </w:p>
        </w:tc>
        <w:tc>
          <w:tcPr>
            <w:tcW w:type="dxa" w:w="5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FAQ corrigées ; fiche œuvre et noms d’artistes à reprendre</w:t>
            </w:r>
          </w:p>
        </w:tc>
      </w:tr>
      <w:tr>
        <w:trPr>
          <w:cantSplit/>
        </w:trPr>
        <w:tc>
          <w:tcPr>
            <w:tcW w:type="dxa" w:w="3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Conformité des promesses</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1,5</w:t>
            </w:r>
          </w:p>
        </w:tc>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2,5</w:t>
            </w:r>
          </w:p>
        </w:tc>
        <w:tc>
          <w:tcPr>
            <w:tcW w:type="dxa" w:w="5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FAQ propres ; bandeau Capital, KPI et manifeste à corriger</w:t>
            </w:r>
          </w:p>
        </w:tc>
      </w:tr>
    </w:tbl>
    <w:p>
      <w:pPr>
        <w:spacing w:after="120" w:before="60" w:line="276"/>
      </w:pPr>
      <w:r>
        <w:rPr>
          <w:rFonts w:ascii="Calibri" w:cs="Calibri" w:eastAsia="Calibri" w:hAnsi="Calibri"/>
          <w:i/>
          <w:iCs/>
          <w:color w:val="5E574C"/>
          <w:sz w:val="16"/>
          <w:szCs w:val="16"/>
        </w:rPr>
        <w:t xml:space="preserve">Notes estimées par l’auditeur sur une échelle de 1 (bloquant) à 5 (référence du secteur).</w:t>
      </w:r>
    </w:p>
    <w:p>
      <w:pPr>
        <w:pStyle w:val="Heading1"/>
        <w:spacing w:after="120" w:before="280"/>
      </w:pPr>
      <w:r>
        <w:rPr>
          <w:rFonts w:ascii="Calibri" w:cs="Calibri" w:eastAsia="Calibri" w:hAnsi="Calibri"/>
          <w:b/>
          <w:bCs/>
          <w:color w:val="16130F"/>
          <w:sz w:val="28"/>
          <w:szCs w:val="28"/>
        </w:rPr>
        <w:t xml:space="preserve">2. Ce qui a été fait depuis la V1</w:t>
      </w:r>
    </w:p>
    <w:p>
      <w:pPr>
        <w:pStyle w:val="ListParagraph"/>
        <w:numPr>
          <w:ilvl w:val="0"/>
          <w:numId w:val="2"/>
        </w:numPr>
        <w:spacing w:after="60" w:line="264"/>
      </w:pPr>
      <w:r>
        <w:rPr>
          <w:rFonts w:ascii="Calibri" w:cs="Calibri" w:eastAsia="Calibri" w:hAnsi="Calibri"/>
          <w:color w:val="16130F"/>
          <w:sz w:val="20"/>
          <w:szCs w:val="20"/>
        </w:rPr>
        <w:t xml:space="preserve">FAQ réécrites et en ligne : accueil, liste et fiches artistes, équipe, Capital, Agence, Services, Média, Nous rejoindre, page galeries, simulateur Patrimoine &amp; Art.</w:t>
      </w:r>
    </w:p>
    <w:p>
      <w:pPr>
        <w:pStyle w:val="ListParagraph"/>
        <w:numPr>
          <w:ilvl w:val="0"/>
          <w:numId w:val="2"/>
        </w:numPr>
        <w:spacing w:after="60" w:line="264"/>
      </w:pPr>
      <w:r>
        <w:rPr>
          <w:rFonts w:ascii="Calibri" w:cs="Calibri" w:eastAsia="Calibri" w:hAnsi="Calibri"/>
          <w:color w:val="16130F"/>
          <w:sz w:val="20"/>
          <w:szCs w:val="20"/>
        </w:rPr>
        <w:t xml:space="preserve">Plus aucune mention de NFT, DAO, token ni Web3 dans les FAQ ; « émergeants » corrigé ; « Pourquoi investir dans l’art » remplacé sur l’accueil.</w:t>
      </w:r>
    </w:p>
    <w:p>
      <w:pPr>
        <w:pStyle w:val="ListParagraph"/>
        <w:numPr>
          <w:ilvl w:val="0"/>
          <w:numId w:val="2"/>
        </w:numPr>
        <w:spacing w:after="60" w:line="264"/>
      </w:pPr>
      <w:r>
        <w:rPr>
          <w:rFonts w:ascii="Calibri" w:cs="Calibri" w:eastAsia="Calibri" w:hAnsi="Calibri"/>
          <w:color w:val="16130F"/>
          <w:sz w:val="20"/>
          <w:szCs w:val="20"/>
        </w:rPr>
        <w:t xml:space="preserve">FAQ Capital juridiquement conforme : distinction leasing / achat (art. 238 bis AB du CGI), plafond de 5 ‰ du chiffre d’affaires, renvoi à l’expert-comptable.</w:t>
      </w:r>
    </w:p>
    <w:p>
      <w:pPr>
        <w:pStyle w:val="ListParagraph"/>
        <w:numPr>
          <w:ilvl w:val="0"/>
          <w:numId w:val="2"/>
        </w:numPr>
        <w:spacing w:after="60" w:line="264"/>
      </w:pPr>
      <w:r>
        <w:rPr>
          <w:rFonts w:ascii="Calibri" w:cs="Calibri" w:eastAsia="Calibri" w:hAnsi="Calibri"/>
          <w:color w:val="16130F"/>
          <w:sz w:val="20"/>
          <w:szCs w:val="20"/>
        </w:rPr>
        <w:t xml:space="preserve">Positionnement clarifié : galerie hybride, média, agence de communication (artistes, professionnels du secteur, professions libérales), agence créative pour les marques.</w:t>
      </w:r>
    </w:p>
    <w:p>
      <w:pPr>
        <w:pStyle w:val="ListParagraph"/>
        <w:numPr>
          <w:ilvl w:val="0"/>
          <w:numId w:val="2"/>
        </w:numPr>
        <w:spacing w:after="60" w:line="264"/>
      </w:pPr>
      <w:r>
        <w:rPr>
          <w:rFonts w:ascii="Calibri" w:cs="Calibri" w:eastAsia="Calibri" w:hAnsi="Calibri"/>
          <w:color w:val="16130F"/>
          <w:sz w:val="20"/>
          <w:szCs w:val="20"/>
        </w:rPr>
        <w:t xml:space="preserve">Références mises en avant : Galerie Leadouze (avenue Matignon), Logitech G, artistes reconnus dont Anny Duperey.</w:t>
      </w:r>
    </w:p>
    <w:p>
      <w:pPr>
        <w:pStyle w:val="Heading1"/>
        <w:spacing w:after="120" w:before="280"/>
      </w:pPr>
      <w:r>
        <w:rPr>
          <w:rFonts w:ascii="Calibri" w:cs="Calibri" w:eastAsia="Calibri" w:hAnsi="Calibri"/>
          <w:b/>
          <w:bCs/>
          <w:color w:val="16130F"/>
          <w:sz w:val="28"/>
          <w:szCs w:val="28"/>
        </w:rPr>
        <w:t xml:space="preserve">3. Ce qui reste à corriger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5266"/>
        <w:gridCol w:w="2700"/>
      </w:tblGrid>
      <w:tr>
        <w:trPr>
          <w:tblHeader/>
        </w:trPr>
        <w:tc>
          <w:tcPr>
            <w:tcW w:type="dxa" w:w="1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Domaine</w:t>
            </w:r>
          </w:p>
        </w:tc>
        <w:tc>
          <w:tcPr>
            <w:tcW w:type="dxa" w:w="5266"/>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Constat sur le site en ligne (15/10/2026)</w:t>
            </w:r>
          </w:p>
        </w:tc>
        <w:tc>
          <w:tcPr>
            <w:tcW w:type="dxa" w:w="27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Conséquence</w:t>
            </w:r>
          </w:p>
        </w:tc>
      </w:tr>
      <w:tr>
        <w:trPr>
          <w:cantSplit/>
        </w:trPr>
        <w:tc>
          <w:tcPr>
            <w:tcW w:type="dxa" w:w="1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Cache et publication</w:t>
            </w:r>
          </w:p>
        </w:tc>
        <w:tc>
          <w:tcPr>
            <w:tcW w:type="dxa" w:w="52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Sans paramètre anti-cache, l’ancienne version de plusieurs pages est servie</w:t>
            </w:r>
          </w:p>
        </w:tc>
        <w:tc>
          <w:tcPr>
            <w:tcW w:type="dxa" w:w="27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Google indexe peut-être l’ancien contenu</w:t>
            </w:r>
          </w:p>
        </w:tc>
      </w:tr>
      <w:tr>
        <w:trPr>
          <w:cantSplit/>
        </w:trPr>
        <w:tc>
          <w:tcPr>
            <w:tcW w:type="dxa" w:w="1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Indexation des fiches</w:t>
            </w:r>
          </w:p>
        </w:tc>
        <w:tc>
          <w:tcPr>
            <w:tcW w:type="dxa" w:w="52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Fiches artistes sans biographie ni œuvres dans le HTML servi, sans H1, meta description ni canonical ; fiches œuvres sans meta ni canonical</w:t>
            </w:r>
          </w:p>
        </w:tc>
        <w:tc>
          <w:tcPr>
            <w:tcW w:type="dxa" w:w="27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371 pages qui devraient porter le trafic restent quasi invisibles</w:t>
            </w:r>
          </w:p>
        </w:tc>
      </w:tr>
      <w:tr>
        <w:trPr>
          <w:cantSplit/>
        </w:trPr>
        <w:tc>
          <w:tcPr>
            <w:tcW w:type="dxa" w:w="1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Balises</w:t>
            </w:r>
          </w:p>
        </w:tc>
        <w:tc>
          <w:tcPr>
            <w:tcW w:type="dxa" w:w="52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/simulators : canonical vers l’accueil, title et meta en anglais ; suffixe « | InRealArt | InRealArt » (Agence, catalogue, Services, fiches) ; www et non-www mélangés ; H1 absent (liste des artistes, catalogue, ateliers) ou en bas de page (accueil)</w:t>
            </w:r>
          </w:p>
        </w:tc>
        <w:tc>
          <w:tcPr>
            <w:tcW w:type="dxa" w:w="27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Pages déclassées ou ignorées</w:t>
            </w:r>
          </w:p>
        </w:tc>
      </w:tr>
      <w:tr>
        <w:trPr>
          <w:cantSplit/>
        </w:trPr>
        <w:tc>
          <w:tcPr>
            <w:tcW w:type="dxa" w:w="1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Sitemap</w:t>
            </w:r>
          </w:p>
        </w:tc>
        <w:tc>
          <w:tcPr>
            <w:tcW w:type="dxa" w:w="52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Œuvres en /artwork/numéro au lieu des slugs ; 7 pages héritées (/marketplace, /about, /academy, /roadmap, /usecase/fractionate, /usecase/lending, /terms-nft) ; /agence, /media, /services absents</w:t>
            </w:r>
          </w:p>
        </w:tc>
        <w:tc>
          <w:tcPr>
            <w:tcW w:type="dxa" w:w="27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Budget de crawl gaspillé, doublons</w:t>
            </w:r>
          </w:p>
        </w:tc>
      </w:tr>
      <w:tr>
        <w:trPr>
          <w:cantSplit/>
        </w:trPr>
        <w:tc>
          <w:tcPr>
            <w:tcW w:type="dxa" w:w="1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Fiche œuvre</w:t>
            </w:r>
          </w:p>
        </w:tc>
        <w:tc>
          <w:tcPr>
            <w:tcW w:type="dxa" w:w="52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Clé « artwork.collection » visible, « No description available », prix « 24,000 € », aucun bouton d’achat, aucune info livraison, retour ou certificat</w:t>
            </w:r>
          </w:p>
        </w:tc>
        <w:tc>
          <w:tcPr>
            <w:tcW w:type="dxa" w:w="27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Aucune vente possible en ligne</w:t>
            </w:r>
          </w:p>
        </w:tc>
      </w:tr>
      <w:tr>
        <w:trPr>
          <w:cantSplit/>
        </w:trPr>
        <w:tc>
          <w:tcPr>
            <w:tcW w:type="dxa" w:w="1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Conformité</w:t>
            </w:r>
          </w:p>
        </w:tc>
        <w:tc>
          <w:tcPr>
            <w:tcW w:type="dxa" w:w="52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Bandeau Capital « 100 % déductible / 5 ans / TVA » qui mélange leasing et achat ; 9 KPI sans source ; témoignage « cote +40 % » (Services) ; rôle « Développeur Blockchain » ; manifeste avec tokenisation et contrats intelligents ; mots-clés « art tokenisé » ; « Réseau d’investisseurs » ; champ « crypto » du simulateur Patrimoine</w:t>
            </w:r>
          </w:p>
        </w:tc>
        <w:tc>
          <w:tcPr>
            <w:tcW w:type="dxa" w:w="27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Risque juridique et de crédibilité</w:t>
            </w:r>
          </w:p>
        </w:tc>
      </w:tr>
      <w:tr>
        <w:trPr>
          <w:cantSplit/>
        </w:trPr>
        <w:tc>
          <w:tcPr>
            <w:tcW w:type="dxa" w:w="1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Contenus</w:t>
            </w:r>
          </w:p>
        </w:tc>
        <w:tc>
          <w:tcPr>
            <w:tcW w:type="dxa" w:w="52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Catalogue avec l’ancienne FAQ « Pourquoi investir » ; pas de FAQ sur fiches œuvres, Nous rejoindre / artistes, simulateurs, ateliers, contact ; question en double sur l’accueil ; « 500 œuvres, 40+ artistes » affichés pour 336 et 35 ; noms d’artistes incohérents ; contact = adresse Gmail sans formulaire</w:t>
            </w:r>
          </w:p>
        </w:tc>
        <w:tc>
          <w:tcPr>
            <w:tcW w:type="dxa" w:w="27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Messages contradictoires</w:t>
            </w:r>
          </w:p>
        </w:tc>
      </w:tr>
      <w:tr>
        <w:trPr>
          <w:cantSplit/>
        </w:trPr>
        <w:tc>
          <w:tcPr>
            <w:tcW w:type="dxa" w:w="1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UX</w:t>
            </w:r>
          </w:p>
        </w:tc>
        <w:tc>
          <w:tcPr>
            <w:tcW w:type="dxa" w:w="52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Menu par métier interne (Store, Capital) ; aucun bandeau de garanties ; pied de page de 50 à 60 liens dont des liens share.google ; Agence : « pré-lancement » et numérotation 01-02-04-05</w:t>
            </w:r>
          </w:p>
        </w:tc>
        <w:tc>
          <w:tcPr>
            <w:tcW w:type="dxa" w:w="27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Parcours d’achat peu rassurant</w:t>
            </w:r>
          </w:p>
        </w:tc>
      </w:tr>
    </w:tbl>
    <w:p>
      <w:pPr>
        <w:pStyle w:val="Heading1"/>
        <w:spacing w:after="120" w:before="280"/>
      </w:pPr>
      <w:r>
        <w:rPr>
          <w:rFonts w:ascii="Calibri" w:cs="Calibri" w:eastAsia="Calibri" w:hAnsi="Calibri"/>
          <w:b/>
          <w:bCs/>
          <w:color w:val="16130F"/>
          <w:sz w:val="28"/>
          <w:szCs w:val="28"/>
        </w:rPr>
        <w:t xml:space="preserve">4. Plan d’action</w:t>
      </w:r>
    </w:p>
    <w:p>
      <w:pPr>
        <w:spacing w:after="120" w:before="0" w:line="276"/>
      </w:pPr>
      <w:r>
        <w:rPr>
          <w:rFonts w:ascii="Calibri" w:cs="Calibri" w:eastAsia="Calibri" w:hAnsi="Calibri"/>
          <w:color w:val="16130F"/>
          <w:sz w:val="20"/>
          <w:szCs w:val="20"/>
        </w:rPr>
        <w:t xml:space="preserve">Trois sprints, du plus urgent au plus structurant. Les efforts sont des estimations indicatives en jours-homme (j/h), à valider par le développeur. Chaque ticket est livré quand son critère d’acceptation est vérifié.</w:t>
      </w:r>
    </w:p>
    <w:p>
      <w:pPr>
        <w:pStyle w:val="Heading2"/>
        <w:spacing w:after="80" w:before="200"/>
      </w:pPr>
      <w:r>
        <w:rPr>
          <w:rFonts w:ascii="Calibri" w:cs="Calibri" w:eastAsia="Calibri" w:hAnsi="Calibri"/>
          <w:b/>
          <w:bCs/>
          <w:color w:val="8A6420"/>
          <w:sz w:val="22"/>
          <w:szCs w:val="22"/>
        </w:rPr>
        <w:t xml:space="preserve">Sprint 1 — Semaine 1 : bloquants et conformité (environ 4 j/h)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066"/>
        <w:gridCol w:w="3900"/>
        <w:gridCol w:w="1000"/>
      </w:tblGrid>
      <w:tr>
        <w:trPr>
          <w:tblHeader/>
        </w:trPr>
        <w:tc>
          <w:tcPr>
            <w:tcW w:type="dxa" w:w="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Ticket</w:t>
            </w:r>
          </w:p>
        </w:tc>
        <w:tc>
          <w:tcPr>
            <w:tcW w:type="dxa" w:w="4066"/>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Action</w:t>
            </w:r>
          </w:p>
        </w:tc>
        <w:tc>
          <w:tcPr>
            <w:tcW w:type="dxa" w:w="3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Critère d’acceptation</w:t>
            </w:r>
          </w:p>
        </w:tc>
        <w:tc>
          <w:tcPr>
            <w:tcW w:type="dxa" w:w="10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Effort</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IRA-22</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Vérifier le cache (CDN, revalidation Next.js), purger, déclencher une revalidation à chaque publication</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Une page consultée sans paramètre = dernière version publiée, moins de 5 min après publication</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0,5 à 1</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IRA-03</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/simulators : canonical auto-référente, title et meta description en français</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Canonical = https://…/simulators</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0,25</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IRA-04</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Corriger le template de title (suffixe ajouté deux fois)</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Aucun title ne contient deux fois « InRealArt »</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0,25</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IRA-15 / 19 / 20</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Rôle « Directeur technique » ; manifeste V2 ; supprimer la balise meta keywords ; « Réseau de collectionneurs et d’entreprises » ; bandeau Capital réécrit (leasing : loyers déductibles / achat : 5 ans, plafond 5 ‰ du CA) ; retirer les KPI sans source et le témoignage +40 % ; retirer le champ crypto</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Recherche dans le code source : zéro occurrence de token, tokenis, blockchain, NFT, Web3, investisseur ; chaque chiffre affiché a une source</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 à 1,5</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IRA-12a</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Fiche œuvre : retirer « artwork.collection », masquer la description vide, prix au format fr-FR</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Aucune chaîne technique ou anglaise visible ; prix « 24 000 € »</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0,5</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IRA-10a</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Accueil : supprimer la question en double, H1 unique en haut, chiffres calculés depuis la base</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Un seul H1 ; chiffres = catalogue réel</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0,5</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IRA-17a</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Catalogue : remplacer l’ancienne FAQ par la FAQ achat</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Plus de « Pourquoi investir dans l’art »</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0,25</w:t>
            </w:r>
          </w:p>
        </w:tc>
      </w:tr>
    </w:tbl>
    <w:p>
      <w:pPr>
        <w:pStyle w:val="Heading2"/>
        <w:spacing w:after="80" w:before="200"/>
      </w:pPr>
      <w:r>
        <w:rPr>
          <w:rFonts w:ascii="Calibri" w:cs="Calibri" w:eastAsia="Calibri" w:hAnsi="Calibri"/>
          <w:b/>
          <w:bCs/>
          <w:color w:val="8A6420"/>
          <w:sz w:val="22"/>
          <w:szCs w:val="22"/>
        </w:rPr>
        <w:t xml:space="preserve">Sprint 2 — Semaines 2 à 4 : indexation et conversion (environ 15 à 20 j/h)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066"/>
        <w:gridCol w:w="3900"/>
        <w:gridCol w:w="1000"/>
      </w:tblGrid>
      <w:tr>
        <w:trPr>
          <w:tblHeader/>
        </w:trPr>
        <w:tc>
          <w:tcPr>
            <w:tcW w:type="dxa" w:w="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Ticket</w:t>
            </w:r>
          </w:p>
        </w:tc>
        <w:tc>
          <w:tcPr>
            <w:tcW w:type="dxa" w:w="4066"/>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Action</w:t>
            </w:r>
          </w:p>
        </w:tc>
        <w:tc>
          <w:tcPr>
            <w:tcW w:type="dxa" w:w="3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Critère d’acceptation</w:t>
            </w:r>
          </w:p>
        </w:tc>
        <w:tc>
          <w:tcPr>
            <w:tcW w:type="dxa" w:w="10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Effort</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IRA-01</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Rendu serveur (SSR ou SSG) des fiches artistes et œuvres : biographie, œuvres, expositions, H1</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La page récupérée sans JavaScript contient bio, œuvres et un seul H1</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 à 5</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IRA-02</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Meta description, canonical et Open Graph par gabarit ; JSON-LD Person, VisualArtwork + Offer, FAQPage</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Test des résultats enrichis Google sans erreur</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2</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IRA-07</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Sitemap en slugs uniquement ; /artwork/{id} en 301 ; pages héritées en 301 ou 410 ; ajout des pages manquantes</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Chaque URL du sitemap répond 200 avec une canonical identique</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 à 2</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IRA-05</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Une seule version du domaine (www recommandé), l’autre en 301</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Une seule version répond 200</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0,5</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IRA-12b</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Fiche œuvre complète : boutons Acheter, Réserver une visite, Simuler un leasing ; technique, année, certificat, livraison, retours ; FAQ achat</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Parcours d’achat testé de bout en bout</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3 à 4</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IRA-11</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Bandeau de garanties sur toutes les pages + page /garanties</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Bandeau visible sur mobile et desktop</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IRA-17b</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FAQ manquantes (Nous rejoindre / artistes, simulateurs, ateliers, contact) dans un composant rendu côté serveur ; formulaire de contact unique avec choix du profil ; adresse e-mail au nom de domaine</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Chaque page a sa FAQ ; tous les « Nous contacter » mènent au même formulaire</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2</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IRA-13</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Un nom d’usage unique par artiste en base ; H1 sur la liste des artistes</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Une seule graphie par artiste sur tout le site</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IRA-18</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Simulateur LOA : résultat sans coordonnées, une seule URL (l’autre en 301) ; retirer « allocation optimale » des balises du simulateur Patrimoine</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Résultat LOA visible sans saisie de téléphone</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w:t>
            </w:r>
          </w:p>
        </w:tc>
      </w:tr>
    </w:tbl>
    <w:p>
      <w:pPr>
        <w:pStyle w:val="Heading2"/>
        <w:spacing w:after="80" w:before="200"/>
      </w:pPr>
      <w:r>
        <w:rPr>
          <w:rFonts w:ascii="Calibri" w:cs="Calibri" w:eastAsia="Calibri" w:hAnsi="Calibri"/>
          <w:b/>
          <w:bCs/>
          <w:color w:val="8A6420"/>
          <w:sz w:val="22"/>
          <w:szCs w:val="22"/>
        </w:rPr>
        <w:t xml:space="preserve">Sprint 3 — Mois 2 et 3 : structure et croissance (environ 12 à 16 j/h)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066"/>
        <w:gridCol w:w="3900"/>
        <w:gridCol w:w="1000"/>
      </w:tblGrid>
      <w:tr>
        <w:trPr>
          <w:tblHeader/>
        </w:trPr>
        <w:tc>
          <w:tcPr>
            <w:tcW w:type="dxa" w:w="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Ticket</w:t>
            </w:r>
          </w:p>
        </w:tc>
        <w:tc>
          <w:tcPr>
            <w:tcW w:type="dxa" w:w="4066"/>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Action</w:t>
            </w:r>
          </w:p>
        </w:tc>
        <w:tc>
          <w:tcPr>
            <w:tcW w:type="dxa" w:w="39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Critère d’acceptation</w:t>
            </w:r>
          </w:p>
        </w:tc>
        <w:tc>
          <w:tcPr>
            <w:tcW w:type="dxa" w:w="1000"/>
            <w:tcBorders>
              <w:top w:val="single" w:color="CFC5B3" w:sz="4"/>
              <w:left w:val="single" w:color="CFC5B3" w:sz="4"/>
              <w:bottom w:val="single" w:color="CFC5B3" w:sz="4"/>
              <w:right w:val="single" w:color="CFC5B3" w:sz="4"/>
            </w:tcBorders>
            <w:shd w:fill="EDE6D8" w:color="auto" w:val="clear"/>
            <w:tcMar>
              <w:top w:type="dxa" w:w="60"/>
              <w:left w:type="dxa" w:w="90"/>
              <w:bottom w:type="dxa" w:w="60"/>
              <w:right w:type="dxa" w:w="90"/>
            </w:tcMar>
          </w:tcPr>
          <w:p>
            <w:pPr>
              <w:spacing w:after="0" w:line="252"/>
            </w:pPr>
            <w:r>
              <w:rPr>
                <w:rFonts w:ascii="Calibri" w:cs="Calibri" w:eastAsia="Calibri" w:hAnsi="Calibri"/>
                <w:b/>
                <w:bCs/>
                <w:color w:val="16130F"/>
                <w:sz w:val="17"/>
                <w:szCs w:val="17"/>
              </w:rPr>
              <w:t xml:space="preserve">Effort</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IRA-09</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Menu par intention : Œuvres, Artistes, Entreprises, Marques, Magazine, La galerie ; 301 des anciennes URL</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Libellés conformes à la maquette ; aucune URL cassée</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2 à 3</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IRA-08</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Pied de page unique de 15 à 20 liens, sans liens share.google</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Même pied de page partout</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0,5</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IRA-16</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Agence : retirer « pré-lancement », numérotation continue, études de cas Logitech G et Grim publiées sur le site</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Au moins une étude de cas sur une page du site</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IRA-21</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12 pages catégories (médium, style, format, budget) et 4 pages piliers Entreprises (leasing, achat 238 bis AB, hôtellerie, immobilier)</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Pages indexables, présentes dans le sitemap et le maillage</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6 à 8</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IRA-06</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Articles anglais : hreflang et slugs propres, ou noindex</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Aucune URL au slug tronqué</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 à 2</w:t>
            </w:r>
          </w:p>
        </w:tc>
      </w:tr>
      <w:tr>
        <w:trPr>
          <w:cantSplit/>
        </w:trPr>
        <w:tc>
          <w:tcPr>
            <w:tcW w:type="dxa" w:w="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Mesure</w:t>
            </w:r>
          </w:p>
        </w:tc>
        <w:tc>
          <w:tcPr>
            <w:tcW w:type="dxa" w:w="4066"/>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Lighthouse mobile ; événements Analytics sur Acheter, Réserver, Simuler, Déposer un brief, Candidater</w:t>
            </w:r>
          </w:p>
        </w:tc>
        <w:tc>
          <w:tcPr>
            <w:tcW w:type="dxa" w:w="39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LCP inférieur à 2,5 s ; événements visibles dans Analytics</w:t>
            </w:r>
          </w:p>
        </w:tc>
        <w:tc>
          <w:tcPr>
            <w:tcW w:type="dxa" w:w="1000"/>
            <w:tcBorders>
              <w:top w:val="single" w:color="CFC5B3" w:sz="4"/>
              <w:left w:val="single" w:color="CFC5B3" w:sz="4"/>
              <w:bottom w:val="single" w:color="CFC5B3" w:sz="4"/>
              <w:right w:val="single" w:color="CFC5B3" w:sz="4"/>
            </w:tcBorders>
            <w:tcMar>
              <w:top w:type="dxa" w:w="60"/>
              <w:left w:type="dxa" w:w="90"/>
              <w:bottom w:type="dxa" w:w="60"/>
              <w:right w:type="dxa" w:w="90"/>
            </w:tcMar>
          </w:tcPr>
          <w:p>
            <w:pPr>
              <w:spacing w:after="0" w:line="252"/>
            </w:pPr>
            <w:r>
              <w:rPr>
                <w:rFonts w:ascii="Calibri" w:cs="Calibri" w:eastAsia="Calibri" w:hAnsi="Calibri"/>
                <w:b w:val="false"/>
                <w:bCs w:val="false"/>
                <w:color w:val="16130F"/>
                <w:sz w:val="17"/>
                <w:szCs w:val="17"/>
              </w:rPr>
              <w:t xml:space="preserve">1</w:t>
            </w:r>
          </w:p>
        </w:tc>
      </w:tr>
    </w:tbl>
    <w:p>
      <w:pPr>
        <w:pStyle w:val="Heading1"/>
        <w:spacing w:after="120" w:before="280"/>
      </w:pPr>
      <w:r>
        <w:rPr>
          <w:rFonts w:ascii="Calibri" w:cs="Calibri" w:eastAsia="Calibri" w:hAnsi="Calibri"/>
          <w:b/>
          <w:bCs/>
          <w:color w:val="16130F"/>
          <w:sz w:val="28"/>
          <w:szCs w:val="28"/>
        </w:rPr>
        <w:t xml:space="preserve">5. Recette avant chaque mise en ligne</w:t>
      </w:r>
    </w:p>
    <w:p>
      <w:pPr>
        <w:pStyle w:val="ListParagraph"/>
        <w:numPr>
          <w:ilvl w:val="0"/>
          <w:numId w:val="3"/>
        </w:numPr>
        <w:spacing w:after="50" w:line="264"/>
      </w:pPr>
      <w:r>
        <w:rPr>
          <w:rFonts w:ascii="Calibri" w:cs="Calibri" w:eastAsia="Calibri" w:hAnsi="Calibri"/>
          <w:color w:val="16130F"/>
          <w:sz w:val="20"/>
          <w:szCs w:val="20"/>
        </w:rPr>
        <w:t xml:space="preserve">La page servie sans paramètre est identique à la dernière version publiée.</w:t>
      </w:r>
    </w:p>
    <w:p>
      <w:pPr>
        <w:pStyle w:val="ListParagraph"/>
        <w:numPr>
          <w:ilvl w:val="0"/>
          <w:numId w:val="3"/>
        </w:numPr>
        <w:spacing w:after="50" w:line="264"/>
      </w:pPr>
      <w:r>
        <w:rPr>
          <w:rFonts w:ascii="Calibri" w:cs="Calibri" w:eastAsia="Calibri" w:hAnsi="Calibri"/>
          <w:color w:val="16130F"/>
          <w:sz w:val="20"/>
          <w:szCs w:val="20"/>
        </w:rPr>
        <w:t xml:space="preserve">Une fiche artiste et une fiche œuvre récupérées sans JavaScript contiennent leur contenu et un seul H1.</w:t>
      </w:r>
    </w:p>
    <w:p>
      <w:pPr>
        <w:pStyle w:val="ListParagraph"/>
        <w:numPr>
          <w:ilvl w:val="0"/>
          <w:numId w:val="3"/>
        </w:numPr>
        <w:spacing w:after="50" w:line="264"/>
      </w:pPr>
      <w:r>
        <w:rPr>
          <w:rFonts w:ascii="Calibri" w:cs="Calibri" w:eastAsia="Calibri" w:hAnsi="Calibri"/>
          <w:color w:val="16130F"/>
          <w:sz w:val="20"/>
          <w:szCs w:val="20"/>
        </w:rPr>
        <w:t xml:space="preserve">Aucune canonical ne pointe vers une autre page ; aucun title ne répète « InRealArt ».</w:t>
      </w:r>
    </w:p>
    <w:p>
      <w:pPr>
        <w:pStyle w:val="ListParagraph"/>
        <w:numPr>
          <w:ilvl w:val="0"/>
          <w:numId w:val="3"/>
        </w:numPr>
        <w:spacing w:after="50" w:line="264"/>
      </w:pPr>
      <w:r>
        <w:rPr>
          <w:rFonts w:ascii="Calibri" w:cs="Calibri" w:eastAsia="Calibri" w:hAnsi="Calibri"/>
          <w:color w:val="16130F"/>
          <w:sz w:val="20"/>
          <w:szCs w:val="20"/>
        </w:rPr>
        <w:t xml:space="preserve">Recherche dans le code source : zéro occurrence de NFT, blockchain, Web3, token, tokenis, investisseur.</w:t>
      </w:r>
    </w:p>
    <w:p>
      <w:pPr>
        <w:pStyle w:val="ListParagraph"/>
        <w:numPr>
          <w:ilvl w:val="0"/>
          <w:numId w:val="3"/>
        </w:numPr>
        <w:spacing w:after="50" w:line="264"/>
      </w:pPr>
      <w:r>
        <w:rPr>
          <w:rFonts w:ascii="Calibri" w:cs="Calibri" w:eastAsia="Calibri" w:hAnsi="Calibri"/>
          <w:color w:val="16130F"/>
          <w:sz w:val="20"/>
          <w:szCs w:val="20"/>
        </w:rPr>
        <w:t xml:space="preserve">Aucun crochet [ ] visible ; aucun chiffre d’impact sans source.</w:t>
      </w:r>
    </w:p>
    <w:p>
      <w:pPr>
        <w:pStyle w:val="ListParagraph"/>
        <w:numPr>
          <w:ilvl w:val="0"/>
          <w:numId w:val="3"/>
        </w:numPr>
        <w:spacing w:after="50" w:line="264"/>
      </w:pPr>
      <w:r>
        <w:rPr>
          <w:rFonts w:ascii="Calibri" w:cs="Calibri" w:eastAsia="Calibri" w:hAnsi="Calibri"/>
          <w:color w:val="16130F"/>
          <w:sz w:val="20"/>
          <w:szCs w:val="20"/>
        </w:rPr>
        <w:t xml:space="preserve">Prix au format « 24 000 € » ; boutons de la fiche œuvre fonctionnels.</w:t>
      </w:r>
    </w:p>
    <w:p>
      <w:pPr>
        <w:pStyle w:val="ListParagraph"/>
        <w:numPr>
          <w:ilvl w:val="0"/>
          <w:numId w:val="3"/>
        </w:numPr>
        <w:spacing w:after="50" w:line="264"/>
      </w:pPr>
      <w:r>
        <w:rPr>
          <w:rFonts w:ascii="Calibri" w:cs="Calibri" w:eastAsia="Calibri" w:hAnsi="Calibri"/>
          <w:color w:val="16130F"/>
          <w:sz w:val="20"/>
          <w:szCs w:val="20"/>
        </w:rPr>
        <w:t xml:space="preserve">Sitemap valide et renvoyé dans Google Search Console.</w:t>
      </w:r>
    </w:p>
    <w:p>
      <w:pPr>
        <w:pStyle w:val="Heading1"/>
        <w:spacing w:after="120" w:before="280"/>
      </w:pPr>
      <w:r>
        <w:rPr>
          <w:rFonts w:ascii="Calibri" w:cs="Calibri" w:eastAsia="Calibri" w:hAnsi="Calibri"/>
          <w:b/>
          <w:bCs/>
          <w:color w:val="16130F"/>
          <w:sz w:val="28"/>
          <w:szCs w:val="28"/>
        </w:rPr>
        <w:t xml:space="preserve">6. Ressources</w:t>
      </w:r>
    </w:p>
    <w:p>
      <w:pPr>
        <w:pStyle w:val="ListParagraph"/>
        <w:numPr>
          <w:ilvl w:val="0"/>
          <w:numId w:val="2"/>
        </w:numPr>
        <w:spacing w:after="60" w:line="264"/>
      </w:pPr>
      <w:r>
        <w:rPr>
          <w:rFonts w:ascii="Calibri" w:cs="Calibri" w:eastAsia="Calibri" w:hAnsi="Calibri"/>
          <w:b/>
          <w:bCs/>
          <w:color w:val="16130F"/>
          <w:sz w:val="20"/>
          <w:szCs w:val="20"/>
        </w:rPr>
        <w:t xml:space="preserve">Textes des FAQ : </w:t>
      </w:r>
      <w:r>
        <w:rPr>
          <w:rFonts w:ascii="Calibri" w:cs="Calibri" w:eastAsia="Calibri" w:hAnsi="Calibri"/>
          <w:color w:val="16130F"/>
          <w:sz w:val="20"/>
          <w:szCs w:val="20"/>
        </w:rPr>
        <w:t xml:space="preserve">document « FAQ InRealArt » (une section par page). L’équipe doit d’abord compléter les éléments entre crochets : taux de commission, délais de livraison et de retour, contact, prix des services.</w:t>
      </w:r>
    </w:p>
    <w:p>
      <w:pPr>
        <w:pStyle w:val="ListParagraph"/>
        <w:numPr>
          <w:ilvl w:val="0"/>
          <w:numId w:val="2"/>
        </w:numPr>
        <w:spacing w:after="60" w:line="264"/>
      </w:pPr>
      <w:r>
        <w:rPr>
          <w:rFonts w:ascii="Calibri" w:cs="Calibri" w:eastAsia="Calibri" w:hAnsi="Calibri"/>
          <w:b/>
          <w:bCs/>
          <w:color w:val="16130F"/>
          <w:sz w:val="20"/>
          <w:szCs w:val="20"/>
        </w:rPr>
        <w:t xml:space="preserve">Maquettes : </w:t>
      </w:r>
      <w:r>
        <w:rPr>
          <w:rFonts w:ascii="Calibri" w:cs="Calibri" w:eastAsia="Calibri" w:hAnsi="Calibri"/>
          <w:color w:val="16130F"/>
          <w:sz w:val="20"/>
          <w:szCs w:val="20"/>
        </w:rPr>
        <w:t xml:space="preserve">accueil, fiche œuvre et page Entreprises dans le design « InRealArt — Refonte du site ».</w:t>
      </w:r>
    </w:p>
    <w:p>
      <w:pPr>
        <w:pStyle w:val="ListParagraph"/>
        <w:numPr>
          <w:ilvl w:val="0"/>
          <w:numId w:val="2"/>
        </w:numPr>
        <w:spacing w:after="60" w:line="264"/>
      </w:pPr>
      <w:r>
        <w:rPr>
          <w:rFonts w:ascii="Calibri" w:cs="Calibri" w:eastAsia="Calibri" w:hAnsi="Calibri"/>
          <w:b/>
          <w:bCs/>
          <w:color w:val="16130F"/>
          <w:sz w:val="20"/>
          <w:szCs w:val="20"/>
        </w:rPr>
        <w:t xml:space="preserve">Détail complet : </w:t>
      </w:r>
      <w:r>
        <w:rPr>
          <w:rFonts w:ascii="Calibri" w:cs="Calibri" w:eastAsia="Calibri" w:hAnsi="Calibri"/>
          <w:color w:val="16130F"/>
          <w:sz w:val="20"/>
          <w:szCs w:val="20"/>
        </w:rPr>
        <w:t xml:space="preserve">documents « Audit V1 » et « Audit V2 », à consulter seulement si un ticket demande plus de contexte.</w:t>
      </w:r>
    </w:p>
    <w:p>
      <w:pPr>
        <w:spacing w:after="120" w:before="80" w:line="276"/>
      </w:pPr>
      <w:r>
        <w:rPr>
          <w:rFonts w:ascii="Calibri" w:cs="Calibri" w:eastAsia="Calibri" w:hAnsi="Calibri"/>
          <w:i/>
          <w:iCs/>
          <w:color w:val="5E574C"/>
          <w:sz w:val="17"/>
          <w:szCs w:val="17"/>
        </w:rPr>
        <w:t xml:space="preserve">Les documents et la maquette sont privés : partagez-les avec le développeur depuis leur menu Partager.</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E574C"/>
        <w:sz w:val="16"/>
        <w:szCs w:val="16"/>
      </w:rPr>
      <w:t xml:space="preserve">InRealArt — Audit V2 et plan d’action · page </w:t>
    </w:r>
    <w:r>
      <w:rPr>
        <w:rFonts w:ascii="Calibri" w:cs="Calibri" w:eastAsia="Calibri" w:hAnsi="Calibri"/>
        <w:color w:val="5E57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2026-10-15T03:32:45.238Z</dcterms:created>
  <dcterms:modified xsi:type="dcterms:W3CDTF">2026-10-15T03:32:45.250Z</dcterms:modified>
</cp:coreProperties>
</file>

<file path=docProps/custom.xml><?xml version="1.0" encoding="utf-8"?>
<Properties xmlns="http://schemas.openxmlformats.org/officeDocument/2006/custom-properties" xmlns:vt="http://schemas.openxmlformats.org/officeDocument/2006/docPropsVTypes"/>
</file>