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20EBB9D" w14:textId="4A405D23" w:rsidR="00C2245B" w:rsidRDefault="00C2245B" w:rsidP="00EE426C">
      <w:pPr>
        <w:pStyle w:val="author"/>
      </w:pPr>
      <w:r w:rsidRPr="00C2245B">
        <w:rPr>
          <w:b/>
          <w:sz w:val="28"/>
        </w:rPr>
        <w:t xml:space="preserve">Governing AI Inference in Heritage Assessment: </w:t>
      </w:r>
      <w:r>
        <w:rPr>
          <w:b/>
          <w:sz w:val="28"/>
        </w:rPr>
        <w:br/>
      </w:r>
      <w:r w:rsidRPr="00C2245B">
        <w:rPr>
          <w:b/>
          <w:sz w:val="28"/>
        </w:rPr>
        <w:t>Uncertainty Notation and Expert Oversight</w:t>
      </w:r>
    </w:p>
    <w:p w14:paraId="59207940" w14:textId="57FDF117" w:rsidR="003829AC" w:rsidRPr="00EE426C" w:rsidRDefault="009B2539" w:rsidP="00087A77">
      <w:pPr>
        <w:pStyle w:val="author"/>
      </w:pPr>
      <w:r>
        <w:t>First Author</w:t>
      </w:r>
      <w:r w:rsidRPr="00EE426C">
        <w:rPr>
          <w:vertAlign w:val="superscript"/>
        </w:rPr>
        <w:t>1</w:t>
      </w:r>
      <w:r>
        <w:rPr>
          <w:rStyle w:val="ORCID"/>
        </w:rPr>
        <w:t>[]</w:t>
      </w:r>
      <w:r w:rsidRPr="00EE426C">
        <w:t xml:space="preserve"> and </w:t>
      </w:r>
      <w:r>
        <w:t>Second Author</w:t>
      </w:r>
      <w:r w:rsidRPr="00EE426C">
        <w:rPr>
          <w:vertAlign w:val="superscript"/>
        </w:rPr>
        <w:t>2</w:t>
      </w:r>
      <w:r>
        <w:rPr>
          <w:rStyle w:val="ORCID"/>
        </w:rPr>
        <w:t>[]</w:t>
      </w:r>
    </w:p>
    <w:p w14:paraId="6A044736" w14:textId="6B8D67F1" w:rsidR="003829AC" w:rsidRPr="00EE426C" w:rsidRDefault="009B2539" w:rsidP="00EE426C">
      <w:pPr>
        <w:pStyle w:val="abstract"/>
        <w:spacing w:after="0"/>
        <w:ind w:firstLine="0"/>
      </w:pPr>
      <w:r w:rsidRPr="00EE426C">
        <w:rPr>
          <w:b/>
          <w:bCs/>
        </w:rPr>
        <w:t>Abstract.</w:t>
      </w:r>
      <w:r w:rsidR="00C2245B" w:rsidRPr="00C2245B">
        <w:t xml:space="preserve"> AI and heritage </w:t>
      </w:r>
      <w:proofErr w:type="gramStart"/>
      <w:r w:rsidR="00C2245B" w:rsidRPr="00C2245B">
        <w:t>expert</w:t>
      </w:r>
      <w:proofErr w:type="gramEnd"/>
      <w:r w:rsidR="00C2245B" w:rsidRPr="00C2245B">
        <w:t xml:space="preserve"> exhibit complementary blind spots: the AI under-reads salience while the expert under-connects evidence. We present a governance framework that structures this complementarity through three </w:t>
      </w:r>
      <w:proofErr w:type="gramStart"/>
      <w:r w:rsidR="00C2245B" w:rsidRPr="00C2245B">
        <w:t>mecha-</w:t>
      </w:r>
      <w:proofErr w:type="spellStart"/>
      <w:r w:rsidR="00C2245B" w:rsidRPr="00C2245B">
        <w:t>nisms</w:t>
      </w:r>
      <w:proofErr w:type="spellEnd"/>
      <w:proofErr w:type="gramEnd"/>
      <w:r w:rsidR="00C2245B" w:rsidRPr="00C2245B">
        <w:t>: a domain ontology structuring context-effect analysis, a three-tier uncertainty notation distinguishing extraction from inference from hypothesis, and mandatory expert checkpoints after each assessment stage. We examine the framework through a case study comparing manual and AI-assisted assessment of the same megalithic site, conducted by the same expert using the same source documents. The AI-assisted workflow surfaced five cross-source insights absent from the manual assessment</w:t>
      </w:r>
      <w:r w:rsidR="00087A77">
        <w:t xml:space="preserve">, </w:t>
      </w:r>
      <w:r w:rsidR="00C2245B" w:rsidRPr="00C2245B">
        <w:t>generated by re-processing the expert's own de-</w:t>
      </w:r>
      <w:proofErr w:type="spellStart"/>
      <w:r w:rsidR="00C2245B" w:rsidRPr="00C2245B">
        <w:t>scriptions</w:t>
      </w:r>
      <w:proofErr w:type="spellEnd"/>
      <w:r w:rsidR="00087A77">
        <w:t xml:space="preserve">, </w:t>
      </w:r>
      <w:r w:rsidR="00C2245B" w:rsidRPr="00C2245B">
        <w:t>while expert governance caught classification failures, conceptual errors, and analytical overreach. The architecture's value lies not in preventing AI error but in structuring collaboration where uncertainty notation activates the AI's synthetic capacity and governance activates the expert's domain judgment.</w:t>
      </w:r>
    </w:p>
    <w:p w14:paraId="412CCBF8" w14:textId="37BAC17C" w:rsidR="003829AC" w:rsidRPr="00EE426C" w:rsidRDefault="009B2539" w:rsidP="00EE426C">
      <w:pPr>
        <w:pStyle w:val="keywords"/>
      </w:pPr>
      <w:r w:rsidRPr="00EE426C">
        <w:rPr>
          <w:b/>
          <w:bCs/>
        </w:rPr>
        <w:t>Keywords:</w:t>
      </w:r>
      <w:r w:rsidRPr="00EE426C">
        <w:t xml:space="preserve"> </w:t>
      </w:r>
      <w:r w:rsidR="00C2245B" w:rsidRPr="00C2245B">
        <w:t xml:space="preserve">cultural heritage significance assessment, AI governance, epistemic uncertainty, human-in-the-loop, </w:t>
      </w:r>
      <w:r w:rsidR="00C2245B" w:rsidRPr="00C2245B">
        <w:rPr>
          <w:highlight w:val="yellow"/>
        </w:rPr>
        <w:t>context-based significance assessment</w:t>
      </w:r>
      <w:r>
        <w:t>.</w:t>
      </w:r>
    </w:p>
    <w:p w14:paraId="6E99B6DE" w14:textId="2B8402C3" w:rsidR="003829AC" w:rsidRDefault="00C2245B" w:rsidP="00C24DEF">
      <w:pPr>
        <w:pStyle w:val="heading1"/>
      </w:pPr>
      <w:r>
        <w:t>Introduc</w:t>
      </w:r>
      <w:r w:rsidR="009B2539">
        <w:t>tion</w:t>
      </w:r>
    </w:p>
    <w:p w14:paraId="67FB37C1" w14:textId="6B769DA3" w:rsidR="00C2245B" w:rsidRDefault="00C2245B" w:rsidP="00C2245B">
      <w:pPr>
        <w:pStyle w:val="p1a"/>
        <w:rPr>
          <w:ins w:id="0" w:author="Yael Alef" w:date="2026-03-25T13:37:00Z" w16du:dateUtc="2026-03-25T11:37:00Z"/>
        </w:rPr>
      </w:pPr>
      <w:r w:rsidRPr="00C2245B">
        <w:t>AI-assisted heritage assessment creates dual tension: too much freedom produces hallucinations</w:t>
      </w:r>
      <w:r w:rsidR="00156F1B">
        <w:t xml:space="preserve">, </w:t>
      </w:r>
      <w:r w:rsidRPr="00C2245B">
        <w:t>fabricated claims presented as fact</w:t>
      </w:r>
      <w:r w:rsidR="00156F1B">
        <w:t xml:space="preserve">, </w:t>
      </w:r>
      <w:r w:rsidRPr="00C2245B">
        <w:t>while too many guardrails risk losing the very affordances that make AI valuable. The challenge is ensuring reliability and enabling new insights.</w:t>
      </w:r>
      <w:ins w:id="1" w:author="Yael Alef" w:date="2026-03-25T13:14:00Z" w16du:dateUtc="2026-03-25T11:14:00Z">
        <w:r w:rsidR="00A65284">
          <w:t xml:space="preserve"> </w:t>
        </w:r>
        <w:r w:rsidR="00A65284" w:rsidRPr="00A65284">
          <w:t xml:space="preserve">This paper introduces </w:t>
        </w:r>
        <w:r w:rsidR="00A65284">
          <w:t xml:space="preserve">an experiment with </w:t>
        </w:r>
        <w:r w:rsidR="00A65284" w:rsidRPr="00B87E67">
          <w:rPr>
            <w:i/>
            <w:iCs/>
            <w:rPrChange w:id="2" w:author="Yael Alef" w:date="2026-03-25T13:34:00Z" w16du:dateUtc="2026-03-25T11:34:00Z">
              <w:rPr/>
            </w:rPrChange>
          </w:rPr>
          <w:t>InSites</w:t>
        </w:r>
        <w:r w:rsidR="00A65284" w:rsidRPr="00A65284">
          <w:t>, an experimental Gen-AI assistant designed to assess cultural heritage significance</w:t>
        </w:r>
        <w:r w:rsidR="00A65284">
          <w:t xml:space="preserve"> to explore this challenge</w:t>
        </w:r>
        <w:r w:rsidR="00A65284" w:rsidRPr="00A65284">
          <w:t>.</w:t>
        </w:r>
      </w:ins>
      <w:ins w:id="3" w:author="Yael Alef" w:date="2026-03-25T13:15:00Z" w16du:dateUtc="2026-03-25T11:15:00Z">
        <w:r w:rsidR="00A65284">
          <w:t xml:space="preserve"> </w:t>
        </w:r>
      </w:ins>
    </w:p>
    <w:p w14:paraId="65D7C115" w14:textId="77777777" w:rsidR="00B87E67" w:rsidRPr="00B87E67" w:rsidRDefault="00B87E67">
      <w:pPr>
        <w:pPrChange w:id="4" w:author="Yael Alef" w:date="2026-03-25T13:37:00Z" w16du:dateUtc="2026-03-25T11:37:00Z">
          <w:pPr>
            <w:pStyle w:val="p1a"/>
          </w:pPr>
        </w:pPrChange>
      </w:pPr>
    </w:p>
    <w:p w14:paraId="2B96C5C0" w14:textId="33065401" w:rsidR="00C2245B" w:rsidRPr="00C2245B" w:rsidRDefault="00A65284" w:rsidP="00C2245B">
      <w:ins w:id="5" w:author="Yael Alef" w:date="2026-03-25T13:16:00Z" w16du:dateUtc="2026-03-25T11:16:00Z">
        <w:r w:rsidRPr="00A65284">
          <w:t>In value-based heritage management, significance assessment is essential for defining values and guiding conservation policy and practice</w:t>
        </w:r>
      </w:ins>
      <w:ins w:id="6" w:author="Yael Alef" w:date="2026-03-25T13:18:00Z" w16du:dateUtc="2026-03-25T11:18:00Z">
        <w:r>
          <w:t>. This is a complex task</w:t>
        </w:r>
      </w:ins>
      <w:ins w:id="7" w:author="Yael Alef" w:date="2026-03-25T13:24:00Z" w16du:dateUtc="2026-03-25T11:24:00Z">
        <w:r w:rsidR="00FC4486">
          <w:t xml:space="preserve"> and</w:t>
        </w:r>
      </w:ins>
      <w:del w:id="8" w:author="Yael Alef" w:date="2026-03-25T13:19:00Z" w16du:dateUtc="2026-03-25T11:19:00Z">
        <w:r w:rsidR="00C2245B" w:rsidRPr="00C2245B" w:rsidDel="00A65284">
          <w:delText>Cultural heritage significance assessment</w:delText>
        </w:r>
      </w:del>
      <w:del w:id="9" w:author="Yael Alef" w:date="2026-03-25T13:24:00Z" w16du:dateUtc="2026-03-25T11:24:00Z">
        <w:r w:rsidR="00C2245B" w:rsidRPr="00C2245B" w:rsidDel="00FC4486">
          <w:delText xml:space="preserve"> requires holding multiple overlapping contexts simultaneously </w:delText>
        </w:r>
      </w:del>
      <w:del w:id="10" w:author="Yael Alef" w:date="2026-03-25T13:20:00Z" w16du:dateUtc="2026-03-25T11:20:00Z">
        <w:r w:rsidR="00C2245B" w:rsidRPr="00C2245B" w:rsidDel="00A65284">
          <w:delText xml:space="preserve">— </w:delText>
        </w:r>
      </w:del>
      <w:del w:id="11" w:author="Yael Alef" w:date="2026-03-25T13:24:00Z" w16du:dateUtc="2026-03-25T11:24:00Z">
        <w:r w:rsidR="00C2245B" w:rsidRPr="00C2245B" w:rsidDel="00FC4486">
          <w:delText>historical, spatial, social, technological</w:delText>
        </w:r>
        <w:r w:rsidR="00C2245B" w:rsidRPr="00FC4486" w:rsidDel="00FC4486">
          <w:delText>, tracing reciprocal relationships with heritage values, and calibrating confidence under incomplete evidence</w:delText>
        </w:r>
        <w:r w:rsidR="00C2245B" w:rsidRPr="00C2245B" w:rsidDel="00FC4486">
          <w:delText xml:space="preserve"> </w:delText>
        </w:r>
      </w:del>
      <w:r w:rsidR="00C2245B" w:rsidRPr="00FC4486">
        <w:rPr>
          <w:highlight w:val="yellow"/>
          <w:rPrChange w:id="12" w:author="Yael Alef" w:date="2026-03-25T13:26:00Z" w16du:dateUtc="2026-03-25T11:26:00Z">
            <w:rPr/>
          </w:rPrChange>
        </w:rPr>
        <w:t>[1, 2]</w:t>
      </w:r>
      <w:del w:id="13" w:author="Yael Alef" w:date="2026-03-25T13:24:00Z" w16du:dateUtc="2026-03-25T11:24:00Z">
        <w:r w:rsidR="00C2245B" w:rsidRPr="00C2245B" w:rsidDel="00FC4486">
          <w:delText>.</w:delText>
        </w:r>
      </w:del>
      <w:r w:rsidR="00C2245B" w:rsidRPr="00C2245B">
        <w:t xml:space="preserve"> </w:t>
      </w:r>
      <w:r w:rsidR="00C2245B" w:rsidRPr="00FC4486">
        <w:rPr>
          <w:highlight w:val="yellow"/>
          <w:rPrChange w:id="14" w:author="Yael Alef" w:date="2026-03-25T13:25:00Z" w16du:dateUtc="2026-03-25T11:25:00Z">
            <w:rPr/>
          </w:rPrChange>
        </w:rPr>
        <w:t>Prior work</w:t>
      </w:r>
      <w:r w:rsidR="00C2245B" w:rsidRPr="00C2245B">
        <w:t xml:space="preserve"> demonstrated that modelling even a single site's contextual elements produces a network whose complexity exceeds what individual practitioners can manage consistently [3]</w:t>
      </w:r>
      <w:ins w:id="15" w:author="Yael Alef" w:date="2026-03-25T13:24:00Z" w16du:dateUtc="2026-03-25T11:24:00Z">
        <w:r w:rsidR="00FC4486">
          <w:t xml:space="preserve">. </w:t>
        </w:r>
      </w:ins>
      <w:del w:id="16" w:author="Yael Alef" w:date="2026-03-25T13:24:00Z" w16du:dateUtc="2026-03-25T11:24:00Z">
        <w:r w:rsidR="00C2245B" w:rsidRPr="00C2245B" w:rsidDel="00FC4486">
          <w:delText xml:space="preserve">, </w:delText>
        </w:r>
      </w:del>
      <w:proofErr w:type="gramStart"/>
      <w:ins w:id="17" w:author="Yael Alef" w:date="2026-03-25T13:24:00Z" w16du:dateUtc="2026-03-25T11:24:00Z">
        <w:r w:rsidR="00FC4486">
          <w:t>from</w:t>
        </w:r>
        <w:proofErr w:type="gramEnd"/>
        <w:r w:rsidR="00FC4486">
          <w:t xml:space="preserve"> this work</w:t>
        </w:r>
        <w:r w:rsidR="00FC4486" w:rsidRPr="00C2245B">
          <w:t xml:space="preserve"> </w:t>
        </w:r>
      </w:ins>
      <w:del w:id="18" w:author="Yael Alef" w:date="2026-03-25T13:25:00Z" w16du:dateUtc="2026-03-25T11:25:00Z">
        <w:r w:rsidR="00C2245B" w:rsidRPr="00C2245B" w:rsidDel="00FC4486">
          <w:delText xml:space="preserve">identifying </w:delText>
        </w:r>
      </w:del>
      <w:r w:rsidR="00C2245B" w:rsidRPr="00C2245B">
        <w:t>three persistent challenges</w:t>
      </w:r>
      <w:ins w:id="19" w:author="Yael Alef" w:date="2026-03-25T13:24:00Z" w16du:dateUtc="2026-03-25T11:24:00Z">
        <w:r w:rsidR="00FC4486">
          <w:t xml:space="preserve"> were </w:t>
        </w:r>
      </w:ins>
      <w:ins w:id="20" w:author="Yael Alef" w:date="2026-03-25T13:41:00Z" w16du:dateUtc="2026-03-25T11:41:00Z">
        <w:r w:rsidR="00B87E67" w:rsidRPr="00C2245B">
          <w:t>identifi</w:t>
        </w:r>
        <w:r w:rsidR="00B87E67">
          <w:t>ed</w:t>
        </w:r>
      </w:ins>
      <w:r w:rsidR="00C2245B" w:rsidRPr="00C2245B">
        <w:t xml:space="preserve">: managing the </w:t>
      </w:r>
      <w:del w:id="21" w:author="Yael Alef" w:date="2026-03-25T13:22:00Z" w16du:dateUtc="2026-03-25T11:22:00Z">
        <w:r w:rsidR="00C2245B" w:rsidRPr="00C2245B" w:rsidDel="00FC4486">
          <w:delText xml:space="preserve">combinatorial </w:delText>
        </w:r>
      </w:del>
      <w:r w:rsidR="00C2245B" w:rsidRPr="00C2245B">
        <w:t xml:space="preserve">complexity of context-value relationships, representing multiple </w:t>
      </w:r>
      <w:del w:id="22" w:author="Yael Alef" w:date="2026-03-25T13:23:00Z" w16du:dateUtc="2026-03-25T11:23:00Z">
        <w:r w:rsidR="00C2245B" w:rsidRPr="00C2245B" w:rsidDel="00FC4486">
          <w:delText xml:space="preserve">legitimate </w:delText>
        </w:r>
      </w:del>
      <w:r w:rsidR="00C2245B" w:rsidRPr="00C2245B">
        <w:t>interpretations simultaneously, and operationalizing uncertainty in assessment reasoning.</w:t>
      </w:r>
    </w:p>
    <w:p w14:paraId="522D1A09" w14:textId="5C61665F" w:rsidR="00C2245B" w:rsidRPr="00C2245B" w:rsidRDefault="00C2245B" w:rsidP="00C2245B">
      <w:r w:rsidRPr="00C2245B">
        <w:lastRenderedPageBreak/>
        <w:t xml:space="preserve">AI-assisted assessment can identify cross-source patterns, surface implicit contexts, and generate new insights from an expert's own descriptions. </w:t>
      </w:r>
      <w:ins w:id="23" w:author="Yael Alef" w:date="2026-03-25T13:42:00Z" w16du:dateUtc="2026-03-25T11:42:00Z">
        <w:r w:rsidR="00B87E67" w:rsidRPr="00A55FA5">
          <w:t>But this capacity creates a new problem</w:t>
        </w:r>
        <w:r w:rsidR="00B87E67">
          <w:t xml:space="preserve">, </w:t>
        </w:r>
      </w:ins>
      <w:del w:id="24" w:author="Yael Alef" w:date="2026-03-25T13:42:00Z" w16du:dateUtc="2026-03-25T11:42:00Z">
        <w:r w:rsidRPr="00C2245B" w:rsidDel="00B87E67">
          <w:delText xml:space="preserve">But </w:delText>
        </w:r>
      </w:del>
      <w:del w:id="25" w:author="Yael Alef" w:date="2026-03-25T13:46:00Z" w16du:dateUtc="2026-03-25T11:46:00Z">
        <w:r w:rsidRPr="00C2245B" w:rsidDel="00C062A1">
          <w:delText xml:space="preserve">too </w:delText>
        </w:r>
      </w:del>
      <w:ins w:id="26" w:author="Yael Alef" w:date="2026-03-25T13:46:00Z" w16du:dateUtc="2026-03-25T11:46:00Z">
        <w:r w:rsidR="00C062A1">
          <w:t>T</w:t>
        </w:r>
        <w:r w:rsidR="00C062A1" w:rsidRPr="00C2245B">
          <w:t xml:space="preserve">oo </w:t>
        </w:r>
      </w:ins>
      <w:r w:rsidRPr="00C2245B">
        <w:t xml:space="preserve">many </w:t>
      </w:r>
      <w:del w:id="27" w:author="Yael Alef" w:date="2026-03-25T13:45:00Z" w16du:dateUtc="2026-03-25T11:45:00Z">
        <w:r w:rsidRPr="00C2245B" w:rsidDel="00C062A1">
          <w:delText>guardrails</w:delText>
        </w:r>
      </w:del>
      <w:del w:id="28" w:author="Yael Alef" w:date="2026-03-25T13:44:00Z" w16du:dateUtc="2026-03-25T11:44:00Z">
        <w:r w:rsidDel="00C062A1">
          <w:delText xml:space="preserve">. </w:delText>
        </w:r>
      </w:del>
      <w:r w:rsidRPr="00C2245B">
        <w:t>safety mechanisms preventing the AI from going beyond explicit source text</w:t>
      </w:r>
      <w:r>
        <w:t xml:space="preserve">, </w:t>
      </w:r>
      <w:ins w:id="29" w:author="Yael Alef" w:date="2026-03-25T13:47:00Z" w16du:dateUtc="2026-03-25T11:47:00Z">
        <w:r w:rsidR="00C062A1" w:rsidRPr="00A55FA5">
          <w:t xml:space="preserve">risk losing the very affordances that make AI </w:t>
        </w:r>
        <w:proofErr w:type="spellStart"/>
        <w:r w:rsidR="00C062A1" w:rsidRPr="00A55FA5">
          <w:t>valuable:</w:t>
        </w:r>
      </w:ins>
      <w:del w:id="30" w:author="Yael Alef" w:date="2026-03-25T13:47:00Z" w16du:dateUtc="2026-03-25T11:47:00Z">
        <w:r w:rsidRPr="00C2245B" w:rsidDel="00C062A1">
          <w:delText xml:space="preserve">risk losing </w:delText>
        </w:r>
      </w:del>
      <w:r w:rsidRPr="00C2245B">
        <w:t>pattern</w:t>
      </w:r>
      <w:proofErr w:type="spellEnd"/>
      <w:ins w:id="31" w:author="Yael Alef" w:date="2026-03-25T13:47:00Z" w16du:dateUtc="2026-03-25T11:47:00Z">
        <w:r w:rsidR="00C062A1">
          <w:t>:</w:t>
        </w:r>
      </w:ins>
      <w:r w:rsidRPr="00C2245B">
        <w:t xml:space="preserve"> recognition across scattered documents, cross-referencing of evidence the expert wrote but did not connect, and </w:t>
      </w:r>
      <w:ins w:id="32" w:author="Yael Alef" w:date="2026-03-25T13:28:00Z" w16du:dateUtc="2026-03-25T11:28:00Z">
        <w:r w:rsidR="00FC4486" w:rsidRPr="00C2245B">
          <w:t>generat</w:t>
        </w:r>
      </w:ins>
      <w:ins w:id="33" w:author="Yael Alef" w:date="2026-03-25T13:46:00Z" w16du:dateUtc="2026-03-25T11:46:00Z">
        <w:r w:rsidR="00C062A1">
          <w:t>e</w:t>
        </w:r>
      </w:ins>
      <w:ins w:id="34" w:author="Yael Alef" w:date="2026-03-25T13:28:00Z" w16du:dateUtc="2026-03-25T11:28:00Z">
        <w:r w:rsidR="00FC4486" w:rsidRPr="00C2245B">
          <w:t xml:space="preserve"> </w:t>
        </w:r>
      </w:ins>
      <w:r w:rsidRPr="00C2245B">
        <w:t xml:space="preserve">hypothesis </w:t>
      </w:r>
      <w:del w:id="35" w:author="Yael Alef" w:date="2026-03-25T13:28:00Z" w16du:dateUtc="2026-03-25T11:28:00Z">
        <w:r w:rsidRPr="00C2245B" w:rsidDel="00FC4486">
          <w:delText xml:space="preserve">generation </w:delText>
        </w:r>
      </w:del>
      <w:r w:rsidRPr="00C2245B">
        <w:t>that may extend beyond existing theories.</w:t>
      </w:r>
    </w:p>
    <w:p w14:paraId="700AC382" w14:textId="274CA975" w:rsidR="00C2245B" w:rsidRDefault="00C2245B" w:rsidP="00C2245B">
      <w:r w:rsidRPr="00C2245B">
        <w:t>This paper examines under what governance conditions AI-assisted assessment can both operationalize current methodological principles and expand the scope of what can be noticed and questioned, through a case study comparing manual and AI-assisted assessment of the same site by the same expert</w:t>
      </w:r>
    </w:p>
    <w:p w14:paraId="45AEAD70" w14:textId="59407E4C" w:rsidR="00C2245B" w:rsidRDefault="00C2245B" w:rsidP="00C2245B">
      <w:pPr>
        <w:pStyle w:val="heading1"/>
      </w:pPr>
      <w:r>
        <w:t>InSites Framework</w:t>
      </w:r>
    </w:p>
    <w:p w14:paraId="2E0C127E" w14:textId="2FB66D26" w:rsidR="00C2245B" w:rsidRDefault="00C2245B" w:rsidP="00C2245B">
      <w:pPr>
        <w:pStyle w:val="p1a"/>
      </w:pPr>
      <w:r>
        <w:t>The InSites Knowledge Lab developed a structured AI framework, implemented as a prompt-engineered assistant running on mainstream large language models without fine-tuning, that embeds context-based significance assessment (CBSA) methodology [3] to address the assessment challenges identified above. The framework serves dual purposes: as a practical heritage assessment tool and as a research instrument for exploring how generative AI affordances (cross-source synthesis, pattern recognition, hypothesis generation) can meet the demands of significance assessment practice. The complete prompt specification and governance architecture are openly available [8].</w:t>
      </w:r>
    </w:p>
    <w:p w14:paraId="202E2D43" w14:textId="77777777" w:rsidR="00C2245B" w:rsidRDefault="00C2245B" w:rsidP="00C2245B">
      <w:r>
        <w:t>The system operates citation-first: every claim must reference specific source passages, and the AI is prohibited from introducing external knowledge. Six assessment modules progress from data gap scanning through contexts, values, authenticity and integrity, comparative analysis, to significance synthesis.</w:t>
      </w:r>
    </w:p>
    <w:p w14:paraId="454CAFAE" w14:textId="06448B0A" w:rsidR="00C2245B" w:rsidRDefault="00A727A2" w:rsidP="00A727A2">
      <w:r>
        <w:t>The context-effect is a</w:t>
      </w:r>
      <w:r w:rsidR="00C2245B">
        <w:t xml:space="preserve"> specific affordance under examination</w:t>
      </w:r>
      <w:r>
        <w:t xml:space="preserve">, i.e. </w:t>
      </w:r>
      <w:r w:rsidR="00C2245B">
        <w:t>the reciprocal framing relationship between contexts and values that CBSA defines [3]. The AI can systematically trace these bidirectional relationships across sources, surfacing connections an expert might not notice across scattered documents.</w:t>
      </w:r>
    </w:p>
    <w:p w14:paraId="29FC6DC5" w14:textId="77777777" w:rsidR="00C2245B" w:rsidRPr="00A727A2" w:rsidRDefault="00C2245B" w:rsidP="00A727A2">
      <w:pPr>
        <w:pStyle w:val="3"/>
        <w:rPr>
          <w:rStyle w:val="heading3"/>
        </w:rPr>
      </w:pPr>
      <w:r w:rsidRPr="00A727A2">
        <w:rPr>
          <w:rStyle w:val="heading3"/>
        </w:rPr>
        <w:t>Governance Architecture</w:t>
      </w:r>
    </w:p>
    <w:p w14:paraId="540BE3F3" w14:textId="6592F60A" w:rsidR="00C2245B" w:rsidRDefault="00C2245B" w:rsidP="00C2245B">
      <w:pPr>
        <w:pStyle w:val="p1a"/>
      </w:pPr>
      <w:r>
        <w:t>The framework embeds CBSA methodology in AI through three interlocking governance mechanisms.</w:t>
      </w:r>
    </w:p>
    <w:p w14:paraId="6734C2C2" w14:textId="77777777" w:rsidR="00C2245B" w:rsidRDefault="00C2245B" w:rsidP="00C2245B">
      <w:r w:rsidRPr="00A727A2">
        <w:rPr>
          <w:b/>
          <w:highlight w:val="yellow"/>
        </w:rPr>
        <w:t>Context-Effect</w:t>
      </w:r>
      <w:r>
        <w:rPr>
          <w:b/>
        </w:rPr>
        <w:t xml:space="preserve"> as Ontological Backbone.</w:t>
      </w:r>
      <w:r>
        <w:t xml:space="preserve"> The context-effect model theorized in [3] serves as the AI's analytical scaffolding. Rather than conducting a generic conversation about heritage, the system structures analysis around the reciprocal relationships between contexts and values. The AI cross-references not because it is instructed to "be thorough" but because the methodology requires tracing how each context frames specific values and how values reframe understanding of contexts.</w:t>
      </w:r>
    </w:p>
    <w:p w14:paraId="6E207260" w14:textId="77777777" w:rsidR="00C2245B" w:rsidRDefault="00C2245B" w:rsidP="00C2245B">
      <w:r>
        <w:rPr>
          <w:b/>
        </w:rPr>
        <w:t>Expert Oversight as Accountability Architecture.</w:t>
      </w:r>
      <w:r>
        <w:t xml:space="preserve"> The workflow enforces mandatory expert review after each of six assessment stages. The expert's role is directing the assessment — adding, correcting, rejecting, reframing — not merely checking output. Dedicated data-quality governance stages (gap scanning before assessment, quality </w:t>
      </w:r>
      <w:r>
        <w:lastRenderedPageBreak/>
        <w:t>checking after) were developed from practitioner feedback in workshops with ~65 heritage professionals [8].</w:t>
      </w:r>
    </w:p>
    <w:p w14:paraId="6DD0CE46" w14:textId="77777777" w:rsidR="00C2245B" w:rsidRDefault="00C2245B" w:rsidP="00C2245B">
      <w:r>
        <w:rPr>
          <w:b/>
        </w:rPr>
        <w:t>Uncertainty Notation as Epistemic Enabler.</w:t>
      </w:r>
      <w:r>
        <w:t xml:space="preserve"> The framework's core mechanism is a three-tier uncertainty notation: claims presented as explicit in sources carry no mark; claims inferred from combining two or more evidence pieces are marked °; and interpretive hypotheses are marked </w:t>
      </w:r>
      <w:r>
        <w:rPr>
          <w:rFonts w:ascii="Segoe UI Emoji" w:hAnsi="Segoe UI Emoji" w:cs="Segoe UI Emoji"/>
        </w:rPr>
        <w:t>💭</w:t>
      </w:r>
      <w:r>
        <w:t>.</w:t>
      </w:r>
    </w:p>
    <w:p w14:paraId="7E8647F1" w14:textId="77777777" w:rsidR="00C2245B" w:rsidRDefault="00C2245B" w:rsidP="00C2245B">
      <w:r>
        <w:t xml:space="preserve">This notation does more than label confidence. It licenses the AI to search beyond explicit source text, by design: the prompt connects "go beyond what is stated" instructions to the marking system, so that inference and hypothesis are generated </w:t>
      </w:r>
      <w:r>
        <w:rPr>
          <w:i/>
        </w:rPr>
        <w:t>as</w:t>
      </w:r>
      <w:r>
        <w:t xml:space="preserve"> marked output rather than labeled after the fact. Without notation, any AI output beyond what sources state is indistinguishable from hallucination. With notation, such output becomes a marked hypothesis submitted for expert examination.</w:t>
      </w:r>
    </w:p>
    <w:p w14:paraId="1C839DA7" w14:textId="77777777" w:rsidR="00C2245B" w:rsidRDefault="00C2245B" w:rsidP="00A727A2">
      <w:r>
        <w:t>A technical caveat: this classification relies on the AI's semantic self-assessment of its own outputs — "verbalized confidence" [9] — not formal probabilistic calibration. The AI is sometimes wrong about its own epistemic status, as the case study demonstrates. This is precisely why the expert checkpoint exists: notation surfaces hypotheses for examination; governance determines whether they hold.</w:t>
      </w:r>
    </w:p>
    <w:p w14:paraId="540FF0BB" w14:textId="3E19FBCE" w:rsidR="00C2245B" w:rsidRDefault="00A727A2" w:rsidP="00A727A2">
      <w:pPr>
        <w:pStyle w:val="heading1"/>
      </w:pPr>
      <w:r>
        <w:t>Methodology</w:t>
      </w:r>
    </w:p>
    <w:p w14:paraId="4AD700D8" w14:textId="77777777" w:rsidR="00A727A2" w:rsidRDefault="00A727A2" w:rsidP="00A727A2">
      <w:pPr>
        <w:pStyle w:val="p1a"/>
      </w:pPr>
      <w:r>
        <w:t>We employ directed qualitative content analysis [6] with source-tracing. A formal manual CBSA conducted for a European heritage assessment guidance collection (the case of Tuba Dolmen Field) [7] is compared with an AI-assisted assessment of the same site, by the same expert, using the same source documents. Each AI output is traced to its source documents at claim level (n=45) and classified as extraction, cross-source synthesis, overreach, or missed content. Implementation details and workshop evaluation are reported in [8].</w:t>
      </w:r>
    </w:p>
    <w:p w14:paraId="35484C3D" w14:textId="77777777" w:rsidR="00A727A2" w:rsidRDefault="00A727A2" w:rsidP="00A727A2">
      <w:r>
        <w:t>This comparison design controls for site, expert, and source material, isolating the workflow as the variable. The manual assessment's descriptive sections were provided as input to the AI-assisted workflow; only the significance assessment sections were withheld. New insights produced by the AI therefore emerged from re-processing text the expert herself had written — the difference is the structured methodology, not access to different information.</w:t>
      </w:r>
    </w:p>
    <w:p w14:paraId="20361CD2" w14:textId="6CAC7E20" w:rsidR="00A727A2" w:rsidRDefault="00A727A2" w:rsidP="00A727A2">
      <w:pPr>
        <w:pStyle w:val="3"/>
      </w:pPr>
      <w:r w:rsidRPr="00AE3EDC">
        <w:rPr>
          <w:rStyle w:val="heading3"/>
          <w:highlight w:val="yellow"/>
        </w:rPr>
        <w:t xml:space="preserve">Field Site. </w:t>
      </w:r>
      <w:r w:rsidRPr="00AE3EDC">
        <w:rPr>
          <w:highlight w:val="yellow"/>
        </w:rPr>
        <w:t xml:space="preserve"> The Tuba-</w:t>
      </w:r>
      <w:proofErr w:type="spellStart"/>
      <w:r w:rsidRPr="00AE3EDC">
        <w:rPr>
          <w:highlight w:val="yellow"/>
        </w:rPr>
        <w:t>Zangariyye</w:t>
      </w:r>
      <w:proofErr w:type="spellEnd"/>
      <w:r w:rsidRPr="00AE3EDC">
        <w:rPr>
          <w:highlight w:val="yellow"/>
        </w:rPr>
        <w:t xml:space="preserve"> dolmen field occupies a basalt hilltop on the </w:t>
      </w:r>
      <w:proofErr w:type="spellStart"/>
      <w:r w:rsidRPr="00AE3EDC">
        <w:rPr>
          <w:highlight w:val="yellow"/>
        </w:rPr>
        <w:t>Korazim</w:t>
      </w:r>
      <w:proofErr w:type="spellEnd"/>
      <w:r w:rsidRPr="00AE3EDC">
        <w:rPr>
          <w:highlight w:val="yellow"/>
        </w:rPr>
        <w:t xml:space="preserve"> Plateau in northern Israel — a megalithic burial landscape of 43 documented dolmens dated by analogy to the IB–MB IIA period (~4,000 BP). The site has never been exca</w:t>
      </w:r>
      <w:r>
        <w:t>vated; all chronological attribution rests on typological and regional parallels. Three source documents were provided: a development survey recording physical data, a heritage management case study, and a regional research synthesis. The evidence profile — survey, analogical, and architectural, with no stratigraphic or scientific dating — makes this a site where uncertainty notation is essential: the data requires inference.</w:t>
      </w:r>
    </w:p>
    <w:p w14:paraId="58007B73" w14:textId="258CCDAF" w:rsidR="00A727A2" w:rsidRDefault="00A727A2" w:rsidP="00A727A2">
      <w:pPr>
        <w:pStyle w:val="heading1"/>
      </w:pPr>
      <w:r>
        <w:lastRenderedPageBreak/>
        <w:t>Case Study</w:t>
      </w:r>
    </w:p>
    <w:p w14:paraId="30DA315D" w14:textId="77777777" w:rsidR="00087A77" w:rsidRDefault="00087A77" w:rsidP="00087A77">
      <w:pPr>
        <w:pStyle w:val="3"/>
      </w:pPr>
      <w:r>
        <w:t>Cross-Source Synthesis Under Uncertainty Notation</w:t>
      </w:r>
    </w:p>
    <w:p w14:paraId="3DA47D73" w14:textId="77777777" w:rsidR="00087A77" w:rsidRDefault="00087A77" w:rsidP="00087A77">
      <w:pPr>
        <w:pStyle w:val="p1a"/>
      </w:pPr>
      <w:r>
        <w:t>Three instances illustrate how ° notation enabled the AI to synthesize across sources, producing insights the expert confirmed as absent from her manual assessment of the same site.</w:t>
      </w:r>
    </w:p>
    <w:p w14:paraId="6A6D7540" w14:textId="77777777" w:rsidR="00087A77" w:rsidRDefault="00087A77" w:rsidP="00087A77">
      <w:r>
        <w:rPr>
          <w:b/>
        </w:rPr>
        <w:t>Social continuity.</w:t>
      </w:r>
      <w:r>
        <w:t xml:space="preserve"> Three sources contain scattered references — main text, footnote, management context — that no single source connects: dolmen builders linked to semi-nomadic pastoralists, a footnote noting this mode of life characterized Bedouin tribes on the same plateau "until recently," and Bedouin grazing in a management context. The AI connected these into a coherent interpretive frame: "pastoralist populations using the same landscape over four millennia," reframing the site as "an enduring node in a pastoral territory." Marked °. The expert responded: "Pattern identification I didn't identify... turned the focus from the burial structures to the economy of those who built the dolmens — and the connection to the Bedouin."</w:t>
      </w:r>
    </w:p>
    <w:p w14:paraId="0437F53D" w14:textId="77777777" w:rsidR="00087A77" w:rsidRDefault="00087A77" w:rsidP="00087A77">
      <w:r>
        <w:rPr>
          <w:b/>
        </w:rPr>
        <w:t>Intangible heritage.</w:t>
      </w:r>
      <w:r>
        <w:t xml:space="preserve"> A single scholarly footnote listing textual references to dolmens across traditions — Rephaim in Deuteronomy, tombs in Mark, Talmudic </w:t>
      </w:r>
      <w:proofErr w:type="spellStart"/>
      <w:r>
        <w:t>Merkolis</w:t>
      </w:r>
      <w:proofErr w:type="spellEnd"/>
      <w:r>
        <w:t>, Bedouin shelter terminology — was elevated by the AI into a unified heritage value: "a persistent landscape for imagination." The expert validated this as "a new beautiful insight not written before."</w:t>
      </w:r>
    </w:p>
    <w:p w14:paraId="71C7E898" w14:textId="77777777" w:rsidR="00087A77" w:rsidRDefault="00087A77" w:rsidP="00087A77">
      <w:r>
        <w:rPr>
          <w:b/>
        </w:rPr>
        <w:t>Geographic reframing.</w:t>
      </w:r>
      <w:r>
        <w:t xml:space="preserve"> One source </w:t>
      </w:r>
      <w:proofErr w:type="gramStart"/>
      <w:r>
        <w:t>names</w:t>
      </w:r>
      <w:proofErr w:type="gramEnd"/>
      <w:r>
        <w:t xml:space="preserve"> four springs as location markers; another describes plateau settlement ecology. No source connects them. The AI framed the site as "a resource node within a landscape corridor," generating a new planning recommendation to include springs in any development buffer. The expert confirmed this was "not written anywhere before."</w:t>
      </w:r>
    </w:p>
    <w:p w14:paraId="1D32FB58" w14:textId="2DE91711" w:rsidR="00087A77" w:rsidRDefault="00087A77" w:rsidP="00087A77">
      <w:pPr>
        <w:pStyle w:val="tablecaption"/>
        <w:jc w:val="both"/>
      </w:pPr>
      <w:r>
        <w:rPr>
          <w:b/>
        </w:rPr>
        <w:t xml:space="preserve">Table </w:t>
      </w:r>
      <w:r>
        <w:rPr>
          <w:b/>
        </w:rPr>
        <w:fldChar w:fldCharType="begin"/>
      </w:r>
      <w:r>
        <w:rPr>
          <w:b/>
        </w:rPr>
        <w:instrText xml:space="preserve"> SEQ "Table" \* MERGEFORMAT </w:instrText>
      </w:r>
      <w:r>
        <w:rPr>
          <w:b/>
        </w:rPr>
        <w:fldChar w:fldCharType="separate"/>
      </w:r>
      <w:r w:rsidR="00484146">
        <w:rPr>
          <w:b/>
          <w:noProof/>
        </w:rPr>
        <w:t>1</w:t>
      </w:r>
      <w:r>
        <w:rPr>
          <w:b/>
        </w:rPr>
        <w:fldChar w:fldCharType="end"/>
      </w:r>
      <w:r>
        <w:rPr>
          <w:b/>
        </w:rPr>
        <w:t>.</w:t>
      </w:r>
      <w:r>
        <w:t xml:space="preserve"> </w:t>
      </w:r>
      <w:r w:rsidRPr="00087A77">
        <w:t>Selected</w:t>
      </w:r>
      <w:r>
        <w:t xml:space="preserve"> assessment moments showing AI output, source basis, and expert response — illustrating the full spectrum from validated synthesis to caught overreach to missed content.</w:t>
      </w:r>
    </w:p>
    <w:tbl>
      <w:tblPr>
        <w:tblW w:w="0" w:type="auto"/>
        <w:tblLook w:val="04A0" w:firstRow="1" w:lastRow="0" w:firstColumn="1" w:lastColumn="0" w:noHBand="0" w:noVBand="1"/>
      </w:tblPr>
      <w:tblGrid>
        <w:gridCol w:w="1729"/>
        <w:gridCol w:w="1729"/>
        <w:gridCol w:w="1729"/>
        <w:gridCol w:w="1729"/>
      </w:tblGrid>
      <w:tr w:rsidR="00087A77" w14:paraId="07EF5870" w14:textId="77777777" w:rsidTr="00087A77">
        <w:tc>
          <w:tcPr>
            <w:tcW w:w="1729" w:type="dxa"/>
            <w:vAlign w:val="center"/>
          </w:tcPr>
          <w:p w14:paraId="47E116A4" w14:textId="77777777" w:rsidR="00087A77" w:rsidRDefault="00087A77" w:rsidP="00087A77">
            <w:pPr>
              <w:spacing w:line="240" w:lineRule="auto"/>
              <w:jc w:val="left"/>
            </w:pPr>
            <w:r>
              <w:rPr>
                <w:b/>
                <w:sz w:val="16"/>
              </w:rPr>
              <w:t>Moment</w:t>
            </w:r>
          </w:p>
        </w:tc>
        <w:tc>
          <w:tcPr>
            <w:tcW w:w="1729" w:type="dxa"/>
            <w:vAlign w:val="center"/>
          </w:tcPr>
          <w:p w14:paraId="212E69D9" w14:textId="77777777" w:rsidR="00087A77" w:rsidRDefault="00087A77" w:rsidP="00087A77">
            <w:pPr>
              <w:spacing w:line="240" w:lineRule="auto"/>
              <w:jc w:val="left"/>
            </w:pPr>
            <w:r>
              <w:rPr>
                <w:b/>
                <w:sz w:val="16"/>
              </w:rPr>
              <w:t>AI output</w:t>
            </w:r>
          </w:p>
        </w:tc>
        <w:tc>
          <w:tcPr>
            <w:tcW w:w="1729" w:type="dxa"/>
            <w:vAlign w:val="center"/>
          </w:tcPr>
          <w:p w14:paraId="0C9F5C43" w14:textId="77777777" w:rsidR="00087A77" w:rsidRDefault="00087A77" w:rsidP="00087A77">
            <w:pPr>
              <w:spacing w:line="240" w:lineRule="auto"/>
              <w:jc w:val="left"/>
            </w:pPr>
            <w:r>
              <w:rPr>
                <w:b/>
                <w:sz w:val="16"/>
              </w:rPr>
              <w:t>Source basis</w:t>
            </w:r>
          </w:p>
        </w:tc>
        <w:tc>
          <w:tcPr>
            <w:tcW w:w="1729" w:type="dxa"/>
            <w:vAlign w:val="center"/>
          </w:tcPr>
          <w:p w14:paraId="58A3332E" w14:textId="77777777" w:rsidR="00087A77" w:rsidRDefault="00087A77" w:rsidP="00087A77">
            <w:pPr>
              <w:spacing w:line="240" w:lineRule="auto"/>
              <w:jc w:val="left"/>
            </w:pPr>
            <w:r>
              <w:rPr>
                <w:b/>
                <w:sz w:val="16"/>
              </w:rPr>
              <w:t>Outcome</w:t>
            </w:r>
          </w:p>
        </w:tc>
      </w:tr>
      <w:tr w:rsidR="00087A77" w14:paraId="4472C0F7" w14:textId="77777777" w:rsidTr="00087A77">
        <w:tc>
          <w:tcPr>
            <w:tcW w:w="1729" w:type="dxa"/>
            <w:vAlign w:val="center"/>
          </w:tcPr>
          <w:p w14:paraId="0420634F" w14:textId="77777777" w:rsidR="00087A77" w:rsidRDefault="00087A77" w:rsidP="00087A77">
            <w:pPr>
              <w:spacing w:line="240" w:lineRule="auto"/>
              <w:ind w:firstLine="0"/>
              <w:jc w:val="left"/>
            </w:pPr>
            <w:r>
              <w:rPr>
                <w:sz w:val="16"/>
              </w:rPr>
              <w:t>Social continuity</w:t>
            </w:r>
          </w:p>
        </w:tc>
        <w:tc>
          <w:tcPr>
            <w:tcW w:w="1729" w:type="dxa"/>
            <w:vAlign w:val="center"/>
          </w:tcPr>
          <w:p w14:paraId="698E7E07" w14:textId="77777777" w:rsidR="00087A77" w:rsidRDefault="00087A77" w:rsidP="00087A77">
            <w:pPr>
              <w:spacing w:line="240" w:lineRule="auto"/>
              <w:ind w:firstLine="0"/>
              <w:jc w:val="left"/>
            </w:pPr>
            <w:r>
              <w:rPr>
                <w:sz w:val="16"/>
              </w:rPr>
              <w:t>"Pastoralist populations… four millennia"</w:t>
            </w:r>
          </w:p>
        </w:tc>
        <w:tc>
          <w:tcPr>
            <w:tcW w:w="1729" w:type="dxa"/>
            <w:vAlign w:val="center"/>
          </w:tcPr>
          <w:p w14:paraId="1A85B274" w14:textId="77777777" w:rsidR="00087A77" w:rsidRDefault="00087A77" w:rsidP="00087A77">
            <w:pPr>
              <w:spacing w:line="240" w:lineRule="auto"/>
              <w:ind w:firstLine="0"/>
              <w:jc w:val="left"/>
            </w:pPr>
            <w:r>
              <w:rPr>
                <w:sz w:val="16"/>
              </w:rPr>
              <w:t xml:space="preserve">3 sources: text + footnote + </w:t>
            </w:r>
            <w:proofErr w:type="spellStart"/>
            <w:r>
              <w:rPr>
                <w:sz w:val="16"/>
              </w:rPr>
              <w:t>mgmt</w:t>
            </w:r>
            <w:proofErr w:type="spellEnd"/>
            <w:r>
              <w:rPr>
                <w:sz w:val="16"/>
              </w:rPr>
              <w:t xml:space="preserve"> context</w:t>
            </w:r>
          </w:p>
        </w:tc>
        <w:tc>
          <w:tcPr>
            <w:tcW w:w="1729" w:type="dxa"/>
            <w:vAlign w:val="center"/>
          </w:tcPr>
          <w:p w14:paraId="161BD2CD" w14:textId="77777777" w:rsidR="00087A77" w:rsidRDefault="00087A77" w:rsidP="00087A77">
            <w:pPr>
              <w:spacing w:line="240" w:lineRule="auto"/>
              <w:ind w:firstLine="0"/>
              <w:jc w:val="left"/>
            </w:pPr>
            <w:r>
              <w:rPr>
                <w:sz w:val="16"/>
              </w:rPr>
              <w:t>° Validated: "pattern I didn't identify"</w:t>
            </w:r>
          </w:p>
        </w:tc>
      </w:tr>
      <w:tr w:rsidR="00087A77" w14:paraId="6BC8825D" w14:textId="77777777" w:rsidTr="00087A77">
        <w:tc>
          <w:tcPr>
            <w:tcW w:w="1729" w:type="dxa"/>
            <w:vAlign w:val="center"/>
          </w:tcPr>
          <w:p w14:paraId="016189F1" w14:textId="77777777" w:rsidR="00087A77" w:rsidRDefault="00087A77" w:rsidP="00087A77">
            <w:pPr>
              <w:spacing w:line="240" w:lineRule="auto"/>
              <w:ind w:firstLine="0"/>
              <w:jc w:val="left"/>
            </w:pPr>
            <w:r>
              <w:rPr>
                <w:sz w:val="16"/>
              </w:rPr>
              <w:t>Intangible heritage</w:t>
            </w:r>
          </w:p>
        </w:tc>
        <w:tc>
          <w:tcPr>
            <w:tcW w:w="1729" w:type="dxa"/>
            <w:vAlign w:val="center"/>
          </w:tcPr>
          <w:p w14:paraId="15F59D99" w14:textId="77777777" w:rsidR="00087A77" w:rsidRDefault="00087A77" w:rsidP="00087A77">
            <w:pPr>
              <w:spacing w:line="240" w:lineRule="auto"/>
              <w:ind w:firstLine="0"/>
              <w:jc w:val="left"/>
            </w:pPr>
            <w:r>
              <w:rPr>
                <w:sz w:val="16"/>
              </w:rPr>
              <w:t>Footnote → unified heritage value</w:t>
            </w:r>
          </w:p>
        </w:tc>
        <w:tc>
          <w:tcPr>
            <w:tcW w:w="1729" w:type="dxa"/>
            <w:vAlign w:val="center"/>
          </w:tcPr>
          <w:p w14:paraId="0AABAF28" w14:textId="77777777" w:rsidR="00087A77" w:rsidRDefault="00087A77" w:rsidP="00087A77">
            <w:pPr>
              <w:spacing w:line="240" w:lineRule="auto"/>
              <w:ind w:firstLine="0"/>
              <w:jc w:val="left"/>
            </w:pPr>
            <w:r>
              <w:rPr>
                <w:sz w:val="16"/>
              </w:rPr>
              <w:t>Single footnote across traditions</w:t>
            </w:r>
          </w:p>
        </w:tc>
        <w:tc>
          <w:tcPr>
            <w:tcW w:w="1729" w:type="dxa"/>
            <w:vAlign w:val="center"/>
          </w:tcPr>
          <w:p w14:paraId="776B55D3" w14:textId="77777777" w:rsidR="00087A77" w:rsidRDefault="00087A77" w:rsidP="00087A77">
            <w:pPr>
              <w:spacing w:line="240" w:lineRule="auto"/>
              <w:ind w:firstLine="0"/>
              <w:jc w:val="left"/>
            </w:pPr>
            <w:r>
              <w:rPr>
                <w:sz w:val="16"/>
              </w:rPr>
              <w:t>° Validated: "new beautiful insight"</w:t>
            </w:r>
          </w:p>
        </w:tc>
      </w:tr>
      <w:tr w:rsidR="00087A77" w14:paraId="6C587B5F" w14:textId="77777777" w:rsidTr="00087A77">
        <w:tc>
          <w:tcPr>
            <w:tcW w:w="1729" w:type="dxa"/>
            <w:vAlign w:val="center"/>
          </w:tcPr>
          <w:p w14:paraId="063E1204" w14:textId="77777777" w:rsidR="00087A77" w:rsidRDefault="00087A77" w:rsidP="00087A77">
            <w:pPr>
              <w:spacing w:line="240" w:lineRule="auto"/>
              <w:ind w:firstLine="0"/>
              <w:jc w:val="left"/>
            </w:pPr>
            <w:r>
              <w:rPr>
                <w:sz w:val="16"/>
              </w:rPr>
              <w:t>Geographic reframing</w:t>
            </w:r>
          </w:p>
        </w:tc>
        <w:tc>
          <w:tcPr>
            <w:tcW w:w="1729" w:type="dxa"/>
            <w:vAlign w:val="center"/>
          </w:tcPr>
          <w:p w14:paraId="1645CA0B" w14:textId="77777777" w:rsidR="00087A77" w:rsidRDefault="00087A77" w:rsidP="00087A77">
            <w:pPr>
              <w:spacing w:line="240" w:lineRule="auto"/>
              <w:ind w:firstLine="0"/>
              <w:jc w:val="left"/>
            </w:pPr>
            <w:r>
              <w:rPr>
                <w:sz w:val="16"/>
              </w:rPr>
              <w:t>"Resource node in a landscape corridor"</w:t>
            </w:r>
          </w:p>
        </w:tc>
        <w:tc>
          <w:tcPr>
            <w:tcW w:w="1729" w:type="dxa"/>
            <w:vAlign w:val="center"/>
          </w:tcPr>
          <w:p w14:paraId="0E64D061" w14:textId="77777777" w:rsidR="00087A77" w:rsidRDefault="00087A77" w:rsidP="00087A77">
            <w:pPr>
              <w:spacing w:line="240" w:lineRule="auto"/>
              <w:ind w:firstLine="0"/>
              <w:jc w:val="left"/>
            </w:pPr>
            <w:r>
              <w:rPr>
                <w:sz w:val="16"/>
              </w:rPr>
              <w:t>2 sources: springs + settlement ecology</w:t>
            </w:r>
          </w:p>
        </w:tc>
        <w:tc>
          <w:tcPr>
            <w:tcW w:w="1729" w:type="dxa"/>
            <w:vAlign w:val="center"/>
          </w:tcPr>
          <w:p w14:paraId="4C9ADE8C" w14:textId="77777777" w:rsidR="00087A77" w:rsidRDefault="00087A77" w:rsidP="00087A77">
            <w:pPr>
              <w:spacing w:line="240" w:lineRule="auto"/>
              <w:ind w:firstLine="0"/>
              <w:jc w:val="left"/>
            </w:pPr>
            <w:r>
              <w:rPr>
                <w:sz w:val="16"/>
              </w:rPr>
              <w:t>° Validated + new planning recommendation</w:t>
            </w:r>
          </w:p>
        </w:tc>
      </w:tr>
      <w:tr w:rsidR="00087A77" w14:paraId="0CEFAB15" w14:textId="77777777" w:rsidTr="00087A77">
        <w:tc>
          <w:tcPr>
            <w:tcW w:w="1729" w:type="dxa"/>
            <w:vAlign w:val="center"/>
          </w:tcPr>
          <w:p w14:paraId="1981D58A" w14:textId="77777777" w:rsidR="00087A77" w:rsidRDefault="00087A77" w:rsidP="00087A77">
            <w:pPr>
              <w:spacing w:line="240" w:lineRule="auto"/>
              <w:ind w:firstLine="0"/>
              <w:jc w:val="left"/>
            </w:pPr>
            <w:r>
              <w:rPr>
                <w:sz w:val="16"/>
              </w:rPr>
              <w:t>"Hierarchical network"</w:t>
            </w:r>
          </w:p>
        </w:tc>
        <w:tc>
          <w:tcPr>
            <w:tcW w:w="1729" w:type="dxa"/>
            <w:vAlign w:val="center"/>
          </w:tcPr>
          <w:p w14:paraId="24E9C382" w14:textId="77777777" w:rsidR="00087A77" w:rsidRDefault="00087A77" w:rsidP="00087A77">
            <w:pPr>
              <w:spacing w:line="240" w:lineRule="auto"/>
              <w:ind w:firstLine="0"/>
              <w:jc w:val="left"/>
            </w:pPr>
            <w:r>
              <w:rPr>
                <w:sz w:val="16"/>
              </w:rPr>
              <w:t>Differentiation reframed as hierarchy</w:t>
            </w:r>
          </w:p>
        </w:tc>
        <w:tc>
          <w:tcPr>
            <w:tcW w:w="1729" w:type="dxa"/>
            <w:vAlign w:val="center"/>
          </w:tcPr>
          <w:p w14:paraId="36FE2ACB" w14:textId="77777777" w:rsidR="00087A77" w:rsidRDefault="00087A77" w:rsidP="00087A77">
            <w:pPr>
              <w:spacing w:line="240" w:lineRule="auto"/>
              <w:ind w:firstLine="0"/>
              <w:jc w:val="left"/>
            </w:pPr>
            <w:r>
              <w:rPr>
                <w:sz w:val="16"/>
              </w:rPr>
              <w:t>Hedged source: "it is possible… may have"</w:t>
            </w:r>
          </w:p>
        </w:tc>
        <w:tc>
          <w:tcPr>
            <w:tcW w:w="1729" w:type="dxa"/>
            <w:vAlign w:val="center"/>
          </w:tcPr>
          <w:p w14:paraId="4FBC7C0C" w14:textId="77777777" w:rsidR="00087A77" w:rsidRDefault="00087A77" w:rsidP="00087A77">
            <w:pPr>
              <w:spacing w:line="240" w:lineRule="auto"/>
              <w:ind w:firstLine="0"/>
              <w:jc w:val="left"/>
            </w:pPr>
            <w:r>
              <w:rPr>
                <w:sz w:val="16"/>
              </w:rPr>
              <w:t xml:space="preserve">Unmarked (should </w:t>
            </w:r>
            <w:proofErr w:type="gramStart"/>
            <w:r>
              <w:rPr>
                <w:sz w:val="16"/>
              </w:rPr>
              <w:t xml:space="preserve">be </w:t>
            </w:r>
            <w:r>
              <w:rPr>
                <w:rFonts w:ascii="Segoe UI Emoji" w:hAnsi="Segoe UI Emoji" w:cs="Segoe UI Emoji"/>
                <w:sz w:val="16"/>
              </w:rPr>
              <w:t>💭</w:t>
            </w:r>
            <w:r>
              <w:rPr>
                <w:sz w:val="16"/>
              </w:rPr>
              <w:t>) —</w:t>
            </w:r>
            <w:proofErr w:type="gramEnd"/>
            <w:r>
              <w:rPr>
                <w:sz w:val="16"/>
              </w:rPr>
              <w:t xml:space="preserve"> expert challenged</w:t>
            </w:r>
          </w:p>
        </w:tc>
      </w:tr>
      <w:tr w:rsidR="00087A77" w14:paraId="11DB6DFB" w14:textId="77777777" w:rsidTr="00087A77">
        <w:tc>
          <w:tcPr>
            <w:tcW w:w="1729" w:type="dxa"/>
            <w:vAlign w:val="center"/>
          </w:tcPr>
          <w:p w14:paraId="61830C7C" w14:textId="77777777" w:rsidR="00087A77" w:rsidRDefault="00087A77" w:rsidP="00087A77">
            <w:pPr>
              <w:spacing w:line="240" w:lineRule="auto"/>
              <w:ind w:firstLine="0"/>
              <w:jc w:val="left"/>
            </w:pPr>
            <w:r>
              <w:rPr>
                <w:sz w:val="16"/>
              </w:rPr>
              <w:t>Corbelling prototype</w:t>
            </w:r>
          </w:p>
        </w:tc>
        <w:tc>
          <w:tcPr>
            <w:tcW w:w="1729" w:type="dxa"/>
            <w:vAlign w:val="center"/>
          </w:tcPr>
          <w:p w14:paraId="7B82D24D" w14:textId="77777777" w:rsidR="00087A77" w:rsidRDefault="00087A77" w:rsidP="00087A77">
            <w:pPr>
              <w:spacing w:line="240" w:lineRule="auto"/>
              <w:ind w:firstLine="0"/>
              <w:jc w:val="left"/>
            </w:pPr>
            <w:r>
              <w:rPr>
                <w:sz w:val="16"/>
              </w:rPr>
              <w:t>Not surfaced</w:t>
            </w:r>
          </w:p>
        </w:tc>
        <w:tc>
          <w:tcPr>
            <w:tcW w:w="1729" w:type="dxa"/>
            <w:vAlign w:val="center"/>
          </w:tcPr>
          <w:p w14:paraId="64CACB55" w14:textId="77777777" w:rsidR="00087A77" w:rsidRDefault="00087A77" w:rsidP="00087A77">
            <w:pPr>
              <w:spacing w:line="240" w:lineRule="auto"/>
              <w:ind w:firstLine="0"/>
              <w:jc w:val="left"/>
            </w:pPr>
            <w:r>
              <w:rPr>
                <w:sz w:val="16"/>
              </w:rPr>
              <w:t>Explicit hypothesis in source</w:t>
            </w:r>
          </w:p>
        </w:tc>
        <w:tc>
          <w:tcPr>
            <w:tcW w:w="1729" w:type="dxa"/>
            <w:vAlign w:val="center"/>
          </w:tcPr>
          <w:p w14:paraId="52E7635B" w14:textId="77777777" w:rsidR="00087A77" w:rsidRDefault="00087A77" w:rsidP="00087A77">
            <w:pPr>
              <w:spacing w:line="240" w:lineRule="auto"/>
              <w:ind w:firstLine="0"/>
              <w:jc w:val="left"/>
            </w:pPr>
            <w:r>
              <w:rPr>
                <w:sz w:val="16"/>
              </w:rPr>
              <w:t>Missed by both AI and expert</w:t>
            </w:r>
          </w:p>
        </w:tc>
      </w:tr>
    </w:tbl>
    <w:p w14:paraId="4E92AD19" w14:textId="3171A44A" w:rsidR="00087A77" w:rsidRDefault="00087A77" w:rsidP="00AE3EDC">
      <w:pPr>
        <w:pStyle w:val="3"/>
      </w:pPr>
      <w:r w:rsidRPr="00AE3EDC">
        <w:rPr>
          <w:b/>
          <w:bCs/>
        </w:rPr>
        <w:t>Governance Catching Classification Failure</w:t>
      </w:r>
      <w:r w:rsidR="00AE3EDC">
        <w:rPr>
          <w:b/>
          <w:bCs/>
        </w:rPr>
        <w:t xml:space="preserve">. </w:t>
      </w:r>
      <w:r>
        <w:t xml:space="preserve">One source uses hedged </w:t>
      </w:r>
      <w:proofErr w:type="gramStart"/>
      <w:r>
        <w:t>language — "</w:t>
      </w:r>
      <w:proofErr w:type="gramEnd"/>
      <w:r>
        <w:t xml:space="preserve">it is possible," "may </w:t>
      </w:r>
      <w:proofErr w:type="gramStart"/>
      <w:r>
        <w:t>have" —</w:t>
      </w:r>
      <w:proofErr w:type="gramEnd"/>
      <w:r>
        <w:t xml:space="preserve"> about the site's possible regional significance. The AI reframed this as "a hierarchically organized network," introducing structural language absent from any source. Crucially, this was not </w:t>
      </w:r>
      <w:proofErr w:type="gramStart"/>
      <w:r>
        <w:t xml:space="preserve">marked </w:t>
      </w:r>
      <w:r>
        <w:rPr>
          <w:rFonts w:ascii="Segoe UI Emoji" w:hAnsi="Segoe UI Emoji" w:cs="Segoe UI Emoji"/>
        </w:rPr>
        <w:t>💭</w:t>
      </w:r>
      <w:r>
        <w:t>.</w:t>
      </w:r>
      <w:proofErr w:type="gramEnd"/>
      <w:r>
        <w:t xml:space="preserve"> The expert challenged: "Is </w:t>
      </w:r>
      <w:r>
        <w:lastRenderedPageBreak/>
        <w:t>this framing a hypothesis of the bot or clearly written in the sources?" The AI acknowledged: "The phrase 'hierarchically organized network' is my interpretive framing — it goes beyond what the sources state."</w:t>
      </w:r>
    </w:p>
    <w:p w14:paraId="743D0151" w14:textId="46227804" w:rsidR="00087A77" w:rsidRDefault="00087A77" w:rsidP="00AE3EDC">
      <w:pPr>
        <w:ind w:firstLine="0"/>
      </w:pPr>
      <w:r w:rsidRPr="00AE3EDC">
        <w:rPr>
          <w:b/>
          <w:bCs/>
        </w:rPr>
        <w:t>Coverage and Limits</w:t>
      </w:r>
      <w:r w:rsidR="00AE3EDC">
        <w:rPr>
          <w:b/>
          <w:bCs/>
        </w:rPr>
        <w:t xml:space="preserve">. </w:t>
      </w:r>
      <w:r>
        <w:t xml:space="preserve">Across the full assessment, 45 substantive claims were traced at item level. Of 18 claims carrying epistemic markers (° or </w:t>
      </w:r>
      <w:r>
        <w:rPr>
          <w:rFonts w:ascii="Segoe UI Emoji" w:hAnsi="Segoe UI Emoji" w:cs="Segoe UI Emoji"/>
        </w:rPr>
        <w:t>💭</w:t>
      </w:r>
      <w:r>
        <w:t>), 17 were correctly classified (94%). Content errors — scope misjudgment, conceptual misapplication, amplified speculation — were caught by governance, not by notation.</w:t>
      </w:r>
    </w:p>
    <w:p w14:paraId="63688353" w14:textId="77777777" w:rsidR="00087A77" w:rsidRDefault="00087A77" w:rsidP="00087A77">
      <w:r>
        <w:t>One source explicitly poses the research question of whether corbelled dolmens could be prototypes for later Canaanite tomb construction — a provocation neither the AI nor the expert surfaced. This is evidence of complementary coverage rather than exhaustive analysis: a second pass, or a different expert, would catch different things.</w:t>
      </w:r>
    </w:p>
    <w:p w14:paraId="3B82ED94" w14:textId="77777777" w:rsidR="00087A77" w:rsidRDefault="00087A77" w:rsidP="00087A77">
      <w:r>
        <w:t>Earlier versions of the framework were used by ~65 heritage professionals in international workshops. The most significant finding was that practitioners identified data quality as the critical factor determining output usefulness — leading directly to dedicated governance stages for data gap scanning and quality checking.</w:t>
      </w:r>
    </w:p>
    <w:p w14:paraId="0F7F55D9" w14:textId="46D8B11E" w:rsidR="00A727A2" w:rsidRDefault="00087A77" w:rsidP="00087A77">
      <w:pPr>
        <w:pStyle w:val="heading1"/>
      </w:pPr>
      <w:r w:rsidRPr="00087A77">
        <w:t>Discussion: Complementary Blind Spots</w:t>
      </w:r>
    </w:p>
    <w:p w14:paraId="60B08F49" w14:textId="5036F1EE" w:rsidR="00087A77" w:rsidRDefault="00087A77" w:rsidP="00AE3EDC">
      <w:pPr>
        <w:pStyle w:val="3"/>
      </w:pPr>
      <w:r w:rsidRPr="00AE3EDC">
        <w:rPr>
          <w:b/>
          <w:bCs/>
        </w:rPr>
        <w:t>Structural Finding</w:t>
      </w:r>
      <w:r w:rsidR="00AE3EDC" w:rsidRPr="00AE3EDC">
        <w:rPr>
          <w:b/>
          <w:bCs/>
        </w:rPr>
        <w:t>.</w:t>
      </w:r>
      <w:r w:rsidR="00AE3EDC">
        <w:t xml:space="preserve"> </w:t>
      </w:r>
      <w:r>
        <w:t>The case study reveals that AI and expert fail differently. The AI under-reads salience — it misses which content carries interpretive weight for the domain (explicit research questions, central site enigmas). The expert under-connects evidence — she misses cross-source patterns the AI catches (data scattered across documents, sections, and footnotes). The architecture structures a collaboration where each compensates for the other. The manual assessment identified five heritage values; the AI-assisted assessment identified seven and produced five cross-source insights absent from the manual — all from re-reading the expert's own descriptions.</w:t>
      </w:r>
    </w:p>
    <w:p w14:paraId="7194D115" w14:textId="76BCE732" w:rsidR="00087A77" w:rsidRDefault="00087A77" w:rsidP="00AE3EDC">
      <w:r w:rsidRPr="00AE3EDC">
        <w:rPr>
          <w:b/>
          <w:bCs/>
        </w:rPr>
        <w:t>Trust and Epistemic Shift</w:t>
      </w:r>
      <w:r w:rsidR="00AE3EDC">
        <w:rPr>
          <w:b/>
          <w:bCs/>
        </w:rPr>
        <w:t xml:space="preserve">. </w:t>
      </w:r>
      <w:r>
        <w:t>The governance framework addresses trust not through accuracy verification but through warranted confidence: structured mechanisms ensuring that what exceeds individual cognitive capacity is nonetheless governed. Prior work showed that CBSA produces networks too complex for individual experts to manage consistently [3]; the framework distributes that cognitive load between human salience judgment and AI pattern-detection under explicit epistemic labeling.</w:t>
      </w:r>
    </w:p>
    <w:p w14:paraId="7525F41C" w14:textId="77777777" w:rsidR="00087A77" w:rsidRDefault="00087A77" w:rsidP="00087A77">
      <w:r>
        <w:t>The case suggests a shift from assessment-as-report to assessment-as-inquiry. The governed AI-assisted workflow produces not only conclusions but also hypotheses and unexpected connections — a category of output ("machine-generated hypotheses for expert examination") that the manual process does not systematically generate. Each assessment potentially surfaces patterns that may inform future research, not merely document current understanding.</w:t>
      </w:r>
    </w:p>
    <w:p w14:paraId="05C8DFE4" w14:textId="12090213" w:rsidR="00087A77" w:rsidRDefault="00087A77" w:rsidP="00AE3EDC">
      <w:r w:rsidRPr="00AE3EDC">
        <w:rPr>
          <w:b/>
          <w:bCs/>
        </w:rPr>
        <w:t>Limitations</w:t>
      </w:r>
      <w:r w:rsidR="00AE3EDC">
        <w:rPr>
          <w:b/>
          <w:bCs/>
        </w:rPr>
        <w:t xml:space="preserve">. </w:t>
      </w:r>
      <w:r>
        <w:t xml:space="preserve">This is a preliminary demonstration based on a single case with a single expert. The same expert produced the source descriptions, conducted the AI-assisted assessment, and validated the output — a limitation for independent validation, though integral to the tool's design (the expert works with her own material). The uncertainty notation relies on AI self-assessment, not formal calibration, and the hierarchy example </w:t>
      </w:r>
      <w:r>
        <w:lastRenderedPageBreak/>
        <w:t xml:space="preserve">demonstrates that this classification is approximate. The corbelling example shows both AI and </w:t>
      </w:r>
      <w:proofErr w:type="gramStart"/>
      <w:r>
        <w:t>expert</w:t>
      </w:r>
      <w:proofErr w:type="gramEnd"/>
      <w:r>
        <w:t xml:space="preserve"> can miss explicit source content.</w:t>
      </w:r>
    </w:p>
    <w:p w14:paraId="5D741F06" w14:textId="77777777" w:rsidR="00A727A2" w:rsidRDefault="00A727A2" w:rsidP="00A727A2">
      <w:pPr>
        <w:pStyle w:val="p1a"/>
      </w:pPr>
    </w:p>
    <w:p w14:paraId="5420A620" w14:textId="0391EEE6" w:rsidR="00087A77" w:rsidRDefault="00087A77" w:rsidP="00087A77">
      <w:pPr>
        <w:pStyle w:val="heading1"/>
      </w:pPr>
      <w:r>
        <w:t>Conclusions</w:t>
      </w:r>
    </w:p>
    <w:p w14:paraId="5130AC02" w14:textId="77777777" w:rsidR="00087A77" w:rsidRDefault="00087A77" w:rsidP="00087A77">
      <w:pPr>
        <w:pStyle w:val="p1a"/>
      </w:pPr>
      <w:r>
        <w:t>The dual tension identified in this paper — between AI freedom that enables discovery and guardrails that prevent fabrication — finds its resolution in the architecture itself: uncertainty notation licenses inference while expert governance catches the failures that notation alone cannot. The case evidence demonstrates this concretely: ° notation enabled cross-source synthesis absent from manual assessment, while expert checkpoints caught unmarked overreach.</w:t>
      </w:r>
    </w:p>
    <w:p w14:paraId="5343B78B" w14:textId="77777777" w:rsidR="00087A77" w:rsidRDefault="00087A77" w:rsidP="00087A77">
      <w:r>
        <w:t>For heritage practice, this suggests a new mode of assessment: not AI replacing expert judgment, nor expert merely checking AI output, but structured collaboration where domain ontology, epistemic notation, and governance checkpoints create conditions for both reliability and discovery. The epistemic enabler shifts assessment from report to inquiry. For AI governance more broadly, the pattern of embedding domain theory as analytical scaffolding — combined with transparent epistemic labeling — may extend beyond heritage to other interpretive disciplines where evidence is incomplete and expertise is essential.</w:t>
      </w:r>
    </w:p>
    <w:p w14:paraId="67E54222" w14:textId="77777777" w:rsidR="00087A77" w:rsidRDefault="00087A77" w:rsidP="00087A77">
      <w:r>
        <w:t>The single-case design is deliberate — it permits claim-level tracing that aggregate studies cannot — but formal calibration across site types, evidence profiles, and multiple experts is the necessary next step. This paper examines one mechanism — epistemic uncertainty notation — from the broader InSites framework; future work will assess other framework features including knowledge graph generation and collection-level analysis. The camera-ready version will expand the case analysis and include findings from additional assessment sessions conducted with heritage professionals.</w:t>
      </w:r>
    </w:p>
    <w:p w14:paraId="04A7CB05" w14:textId="77777777" w:rsidR="00087A77" w:rsidRDefault="00087A77" w:rsidP="00087A77">
      <w:pPr>
        <w:pStyle w:val="heading1"/>
      </w:pPr>
      <w:r>
        <w:t>References</w:t>
      </w:r>
    </w:p>
    <w:p w14:paraId="2A7C3655" w14:textId="77777777" w:rsidR="00087A77" w:rsidRDefault="00087A77" w:rsidP="00087A77">
      <w:pPr>
        <w:pStyle w:val="referenceitem"/>
      </w:pPr>
      <w:r>
        <w:t xml:space="preserve">1. </w:t>
      </w:r>
      <w:proofErr w:type="spellStart"/>
      <w:r>
        <w:t>Avrami</w:t>
      </w:r>
      <w:proofErr w:type="spellEnd"/>
      <w:r>
        <w:t xml:space="preserve">, E., Mason, R.: Mapping the Issue of Values. In: </w:t>
      </w:r>
      <w:proofErr w:type="spellStart"/>
      <w:r>
        <w:t>Avrami</w:t>
      </w:r>
      <w:proofErr w:type="spellEnd"/>
      <w:r>
        <w:t>, E., Macdonald, S., Mason, R., Myers, D. (eds.) Values in Heritage Management: Emerging Approaches and Research Directions, pp. 9–33. The Getty Conservation Institute, Los Angeles (2019)</w:t>
      </w:r>
    </w:p>
    <w:p w14:paraId="7A3D20EF" w14:textId="77777777" w:rsidR="00087A77" w:rsidRDefault="00087A77" w:rsidP="00087A77">
      <w:pPr>
        <w:pStyle w:val="referenceitem"/>
      </w:pPr>
      <w:r>
        <w:t>2. EAC: Guidance on the assessment of significance. European Archaeological Council Guidance Document 9 (2025)</w:t>
      </w:r>
    </w:p>
    <w:p w14:paraId="16256AA9" w14:textId="77777777" w:rsidR="00087A77" w:rsidRDefault="00087A77" w:rsidP="00087A77">
      <w:pPr>
        <w:pStyle w:val="referenceitem"/>
      </w:pPr>
      <w:r>
        <w:t>3. [Anon.]: [Title withheld for review]. (2024)</w:t>
      </w:r>
    </w:p>
    <w:p w14:paraId="3479965C" w14:textId="77777777" w:rsidR="00087A77" w:rsidRDefault="00087A77" w:rsidP="00087A77">
      <w:pPr>
        <w:pStyle w:val="referenceitem"/>
      </w:pPr>
      <w:r>
        <w:t>4. Bai, N., Nourian, P., Luo, R., Pereira Roders, A.: Heri-Graphs: A dataset creation framework for multi-modal machine learning on graphs of heritage values and attributes with social media. ISPRS Journal of Photogrammetry and Remote Sensing 203, 469–495 (2023)</w:t>
      </w:r>
    </w:p>
    <w:p w14:paraId="378A0D68" w14:textId="77777777" w:rsidR="00087A77" w:rsidRDefault="00087A77" w:rsidP="00087A77">
      <w:pPr>
        <w:pStyle w:val="referenceitem"/>
      </w:pPr>
      <w:r>
        <w:t>5. Pan, Y., Zhang, L., Li, Z.: Review of AI-based methods for cultural heritage conservation. Journal of Cultural Heritage 70, 170–182 (2024)</w:t>
      </w:r>
    </w:p>
    <w:p w14:paraId="46311B48" w14:textId="77777777" w:rsidR="00087A77" w:rsidRDefault="00087A77" w:rsidP="00087A77">
      <w:pPr>
        <w:pStyle w:val="referenceitem"/>
      </w:pPr>
      <w:r>
        <w:t>6. Hsieh, H.-F., Shannon, S.E.: Three approaches to qualitative content analysis. Qualitative Health Research 15(9), 1277–1288 (2005)</w:t>
      </w:r>
    </w:p>
    <w:p w14:paraId="64F08474" w14:textId="77777777" w:rsidR="00087A77" w:rsidRDefault="00087A77" w:rsidP="00087A77">
      <w:pPr>
        <w:pStyle w:val="referenceitem"/>
      </w:pPr>
      <w:r>
        <w:t>7. EAC: Significance in Practice — Case Studies from Europe. European Archaeological Council Guidance Document 11 (2026)</w:t>
      </w:r>
    </w:p>
    <w:p w14:paraId="7A16342C" w14:textId="77777777" w:rsidR="00087A77" w:rsidRDefault="00087A77" w:rsidP="00087A77">
      <w:pPr>
        <w:pStyle w:val="referenceitem"/>
      </w:pPr>
      <w:r>
        <w:lastRenderedPageBreak/>
        <w:t>8. [Anon.]: [Title withheld for review]. In: Proceedings of CAA 2026 (2026). Framework specification: [GitHub URL withheld for review]</w:t>
      </w:r>
    </w:p>
    <w:p w14:paraId="40DC7A9D" w14:textId="77777777" w:rsidR="00087A77" w:rsidRDefault="00087A77" w:rsidP="00AE3EDC">
      <w:pPr>
        <w:pStyle w:val="referenceitem"/>
      </w:pPr>
      <w:r>
        <w:t>9. Xiong, M., Hu, Z., Lu, X., Li, Y., Fu, J., He, J., Hooi, B.: Can LLMs express their uncertainty? An empirical evaluation of confidence elicitation in LLMs. In: Proceedings of ICLR 2024 (2024)</w:t>
      </w:r>
    </w:p>
    <w:sectPr w:rsidR="00087A77" w:rsidSect="009F7FCE">
      <w:headerReference w:type="even" r:id="rId9"/>
      <w:headerReference w:type="default" r:id="rId10"/>
      <w:footerReference w:type="even" r:id="rId11"/>
      <w:footerReference w:type="default" r:id="rId12"/>
      <w:headerReference w:type="first" r:id="rId13"/>
      <w:footerReference w:type="firs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FC687E4" w14:textId="77777777" w:rsidR="000A526F" w:rsidRDefault="000A526F">
      <w:r>
        <w:separator/>
      </w:r>
    </w:p>
  </w:endnote>
  <w:endnote w:type="continuationSeparator" w:id="0">
    <w:p w14:paraId="2F41D421" w14:textId="77777777" w:rsidR="000A526F" w:rsidRDefault="000A526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Emoji">
    <w:panose1 w:val="020B0502040204020203"/>
    <w:charset w:val="00"/>
    <w:family w:val="swiss"/>
    <w:pitch w:val="variable"/>
    <w:sig w:usb0="00000003" w:usb1="02000000" w:usb2="08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06BEE6" w14:textId="77777777" w:rsidR="0095682A" w:rsidRDefault="0095682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7F4AE9" w14:textId="77777777" w:rsidR="0095682A" w:rsidRDefault="0095682A"/>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895E6F" w14:textId="77777777" w:rsidR="0095682A" w:rsidRDefault="0095682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ACC72D" w14:textId="77777777" w:rsidR="000A526F" w:rsidRDefault="000A526F" w:rsidP="009F7FCE">
      <w:pPr>
        <w:ind w:firstLine="0"/>
      </w:pPr>
      <w:r>
        <w:separator/>
      </w:r>
    </w:p>
  </w:footnote>
  <w:footnote w:type="continuationSeparator" w:id="0">
    <w:p w14:paraId="0721BC71" w14:textId="77777777" w:rsidR="000A526F" w:rsidRDefault="000A526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326E52"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3829AC">
      <w:t xml:space="preserve"> </w:t>
    </w:r>
    <w:r w:rsidR="003829AC">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E5200C" w14:textId="77777777" w:rsidR="003829AC" w:rsidRPr="00090B89" w:rsidRDefault="003829AC"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1641D62" w14:textId="77777777" w:rsidR="003829AC" w:rsidRDefault="003829AC" w:rsidP="00090B89">
    <w:pPr>
      <w:pStyle w:val="a5"/>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07A20F6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484007564">
    <w:abstractNumId w:val="0"/>
  </w:num>
  <w:num w:numId="2" w16cid:durableId="110176322">
    <w:abstractNumId w:val="0"/>
  </w:num>
  <w:num w:numId="3" w16cid:durableId="542838002">
    <w:abstractNumId w:val="1"/>
  </w:num>
  <w:num w:numId="4" w16cid:durableId="299116036">
    <w:abstractNumId w:val="1"/>
  </w:num>
  <w:num w:numId="5" w16cid:durableId="1422027285">
    <w:abstractNumId w:val="3"/>
  </w:num>
  <w:num w:numId="6" w16cid:durableId="926619485">
    <w:abstractNumId w:val="3"/>
  </w:num>
  <w:num w:numId="7" w16cid:durableId="931619495">
    <w:abstractNumId w:val="2"/>
  </w:num>
  <w:num w:numId="8" w16cid:durableId="2005157977">
    <w:abstractNumId w:val="4"/>
  </w:num>
  <w:num w:numId="9" w16cid:durableId="1969578689">
    <w:abstractNumId w:val="4"/>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Yael Alef">
    <w15:presenceInfo w15:providerId="AD" w15:userId="S::yaelalef@technion.ac.il::78743845-2ddf-4bc8-8961-e1de2887dca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87A77"/>
    <w:rsid w:val="000A526F"/>
    <w:rsid w:val="00156F1B"/>
    <w:rsid w:val="003829AC"/>
    <w:rsid w:val="00484146"/>
    <w:rsid w:val="0095682A"/>
    <w:rsid w:val="009930E4"/>
    <w:rsid w:val="009B2539"/>
    <w:rsid w:val="009F7FCE"/>
    <w:rsid w:val="00A13D60"/>
    <w:rsid w:val="00A65284"/>
    <w:rsid w:val="00A727A2"/>
    <w:rsid w:val="00AE3EDC"/>
    <w:rsid w:val="00B23481"/>
    <w:rsid w:val="00B73C9D"/>
    <w:rsid w:val="00B87E67"/>
    <w:rsid w:val="00C062A1"/>
    <w:rsid w:val="00C07C5A"/>
    <w:rsid w:val="00C2245B"/>
    <w:rsid w:val="00F321B4"/>
    <w:rsid w:val="00FC4486"/>
  </w:rsids>
  <m:mathPr>
    <m:mathFont m:val="Cambria Math"/>
    <m:brkBin m:val="before"/>
    <m:brkBinSub m:val="--"/>
    <m:smallFrac m:val="0"/>
    <m:dispDef/>
    <m:lMargin m:val="0"/>
    <m:rMargin m:val="0"/>
    <m:defJc m:val="centerGroup"/>
    <m:wrapIndent m:val="1440"/>
    <m:intLim m:val="subSup"/>
    <m:naryLim m:val="undOvr"/>
  </m:mathPr>
  <w:themeFontLang w:val="de-DE"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6ACF1C1"/>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paragraph" w:customStyle="1" w:styleId="acknowlegments">
    <w:name w:val="acknowlegments"/>
    <w:basedOn w:val="a"/>
    <w:qFormat/>
    <w:pPr>
      <w:spacing w:before="240" w:line="220" w:lineRule="atLeast"/>
      <w:ind w:firstLine="0"/>
    </w:pPr>
    <w:rPr>
      <w:sz w:val="18"/>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Hyperlink">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5">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087A77"/>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head left"/>
    <w:basedOn w:val="a"/>
    <w:pPr>
      <w:tabs>
        <w:tab w:val="left" w:pos="680"/>
      </w:tabs>
      <w:ind w:firstLine="0"/>
      <w:jc w:val="left"/>
    </w:pPr>
    <w:rPr>
      <w:sz w:val="18"/>
      <w:szCs w:val="18"/>
    </w:rPr>
  </w:style>
  <w:style w:type="paragraph" w:customStyle="1" w:styleId="runningheadright">
    <w:name w:val="runninghead right"/>
    <w:basedOn w:val="a"/>
    <w:pPr>
      <w:tabs>
        <w:tab w:val="right" w:pos="6237"/>
        <w:tab w:val="right" w:pos="6917"/>
      </w:tabs>
      <w:ind w:firstLine="0"/>
      <w:jc w:val="left"/>
    </w:pPr>
    <w:rPr>
      <w:bCs/>
      <w:sz w:val="18"/>
      <w:szCs w:val="18"/>
    </w:rPr>
  </w:style>
  <w:style w:type="character" w:styleId="a6">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7">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8">
    <w:name w:val="Revision"/>
    <w:hidden/>
    <w:semiHidden/>
    <w:rsid w:val="00A6528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customXml" Target="../customXml/item1.xml"/><Relationship Id="rId16"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7</Pages>
  <Words>3036</Words>
  <Characters>15183</Characters>
  <Application>Microsoft Office Word</Application>
  <DocSecurity>0</DocSecurity>
  <Lines>126</Lines>
  <Paragraphs>36</Paragraphs>
  <ScaleCrop>false</ScaleCrop>
  <HeadingPairs>
    <vt:vector size="4" baseType="variant">
      <vt:variant>
        <vt:lpstr>שם</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18183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Yael Alef</dc:creator>
  <dc:description>Styles and macros for Springer Lecture Notes</dc:description>
  <cp:lastModifiedBy>Yael Alef</cp:lastModifiedBy>
  <cp:revision>2</cp:revision>
  <dcterms:created xsi:type="dcterms:W3CDTF">2026-03-25T11:51:00Z</dcterms:created>
  <dcterms:modified xsi:type="dcterms:W3CDTF">2026-03-25T11:51:00Z</dcterms:modified>
</cp:coreProperties>
</file>