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2E4057"/>
          <w:sz w:val="34"/>
          <w:szCs w:val="34"/>
        </w:rPr>
        <w:t xml:space="preserve">InSites v2.0 Assessment Run</w:t>
      </w:r>
    </w:p>
    <w:p>
      <w:pPr>
        <w:spacing w:after="200"/>
      </w:pPr>
      <w:r>
        <w:rPr>
          <w:rFonts w:ascii="Calibri" w:cs="Calibri" w:eastAsia="Calibri" w:hAnsi="Calibri"/>
          <w:color w:val="4A7C9B"/>
          <w:sz w:val="24"/>
          <w:szCs w:val="24"/>
        </w:rPr>
        <w:t xml:space="preserve">Observation Guide for Heritage 4.0 Paper</w:t>
      </w:r>
    </w:p>
    <w:p>
      <w:pPr>
        <w:pStyle w:val="Heading1"/>
        <w:spacing w:before="360" w:after="180"/>
      </w:pPr>
      <w:r>
        <w:rPr>
          <w:b/>
          <w:bCs/>
        </w:rPr>
        <w:t xml:space="preserve">How to Approach This</w:t>
      </w:r>
    </w:p>
    <w:p>
      <w:pPr>
        <w:spacing w:after="100"/>
      </w:pPr>
      <w:r>
        <w:rPr>
          <w:rFonts w:ascii="Calibri" w:cs="Calibri" w:eastAsia="Calibri" w:hAnsi="Calibri"/>
          <w:sz w:val="22"/>
          <w:szCs w:val="22"/>
        </w:rPr>
        <w:t xml:space="preserve">This is a real assessment, not a test. Run it as you would for any professional CBSA evaluation. The only addition: while working, keep a light record of moments that are relevant to the paper’s research question.</w:t>
      </w:r>
    </w:p>
    <w:p>
      <w:pPr>
        <w:spacing w:after="100"/>
      </w:pPr>
      <w:r>
        <w:rPr>
          <w:rFonts w:ascii="Calibri" w:cs="Calibri" w:eastAsia="Calibri" w:hAnsi="Calibri"/>
          <w:b/>
          <w:bCs/>
          <w:sz w:val="22"/>
          <w:szCs w:val="22"/>
        </w:rPr>
        <w:t xml:space="preserve">The research question:</w:t>
      </w:r>
    </w:p>
    <w:p>
      <w:pPr>
        <w:spacing w:after="100"/>
      </w:pPr>
      <w:r>
        <w:rPr>
          <w:rFonts w:ascii="Calibri" w:cs="Calibri" w:eastAsia="Calibri" w:hAnsi="Calibri"/>
          <w:i/>
          <w:iCs/>
          <w:sz w:val="22"/>
          <w:szCs w:val="22"/>
        </w:rPr>
        <w:t xml:space="preserve">When heritage assessment methodology is embedded in AI and governed by expert checkpoints, does the workflow surface insights that go beyond what a manual assessment of the same material would produce — and how does the uncertainty notation (°/💭) contribute to this?</w:t>
      </w:r>
    </w:p>
    <w:p>
      <w:pPr>
        <w:spacing w:after="100"/>
      </w:pPr>
      <w:r>
        <w:rPr>
          <w:rFonts w:ascii="Calibri" w:cs="Calibri" w:eastAsia="Calibri" w:hAnsi="Calibri"/>
          <w:sz w:val="22"/>
          <w:szCs w:val="22"/>
        </w:rPr>
        <w:t xml:space="preserve">You are not looking for success stories. You are looking for what actually happens — moments where the AI adds something useful, moments where it gets things wrong, and moments where the governance structure (your checkpoints) makes a difference.</w:t>
      </w:r>
    </w:p>
    <w:p>
      <w:pPr>
        <w:pBdr>
          <w:bottom w:val="single" w:color="B0B0B0" w:sz="4" w:space="1"/>
        </w:pBdr>
        <w:spacing w:before="100" w:after="100"/>
      </w:pPr>
    </w:p>
    <w:p>
      <w:pPr>
        <w:pStyle w:val="Heading1"/>
        <w:spacing w:before="360" w:after="180"/>
      </w:pPr>
      <w:r>
        <w:rPr>
          <w:b/>
          <w:bCs/>
        </w:rPr>
        <w:t xml:space="preserve">What to Notice</w:t>
      </w:r>
    </w:p>
    <w:p>
      <w:pPr>
        <w:spacing w:after="100"/>
      </w:pPr>
      <w:r>
        <w:rPr>
          <w:rFonts w:ascii="Calibri" w:cs="Calibri" w:eastAsia="Calibri" w:hAnsi="Calibri"/>
          <w:sz w:val="22"/>
          <w:szCs w:val="22"/>
        </w:rPr>
        <w:t xml:space="preserve">Six types of moments are relevant. You don’t need to force them — just notice when they occur:</w:t>
      </w:r>
    </w:p>
    <w:p>
      <w:pPr>
        <w:spacing w:after="100"/>
      </w:pPr>
      <w:r>
        <w:rPr>
          <w:rFonts w:ascii="Calibri" w:cs="Calibri" w:eastAsia="Calibri" w:hAnsi="Calibri"/>
          <w:b/>
          <w:bCs/>
          <w:sz w:val="22"/>
          <w:szCs w:val="22"/>
        </w:rPr>
        <w:t xml:space="preserve">1. Sub-textual insight (°)</w:t>
      </w:r>
    </w:p>
    <w:p>
      <w:pPr>
        <w:spacing w:after="100"/>
      </w:pPr>
      <w:r>
        <w:rPr>
          <w:rFonts w:ascii="Calibri" w:cs="Calibri" w:eastAsia="Calibri" w:hAnsi="Calibri"/>
          <w:sz w:val="22"/>
          <w:szCs w:val="22"/>
        </w:rPr>
        <w:t xml:space="preserve">The AI infers a connection or pattern that is not stated explicitly in the source material and marks it °. Did this connection occur to you when you read the same material? Would it have surfaced in a manual assessment?</w:t>
      </w:r>
    </w:p>
    <w:p>
      <w:pPr>
        <w:spacing w:after="100"/>
      </w:pPr>
      <w:r>
        <w:rPr>
          <w:rFonts w:ascii="Calibri" w:cs="Calibri" w:eastAsia="Calibri" w:hAnsi="Calibri"/>
          <w:b/>
          <w:bCs/>
          <w:sz w:val="22"/>
          <w:szCs w:val="22"/>
        </w:rPr>
        <w:t xml:space="preserve">2. Interpretive hypothesis (💭)</w:t>
      </w:r>
    </w:p>
    <w:p>
      <w:pPr>
        <w:spacing w:after="100"/>
      </w:pPr>
      <w:r>
        <w:rPr>
          <w:rFonts w:ascii="Calibri" w:cs="Calibri" w:eastAsia="Calibri" w:hAnsi="Calibri"/>
          <w:sz w:val="22"/>
          <w:szCs w:val="22"/>
        </w:rPr>
        <w:t xml:space="preserve">The AI proposes a reading marked 💭. Is this a line of inquiry you had not considered? If it had been presented without the 💭 label, would you have accepted it as fact?</w:t>
      </w:r>
    </w:p>
    <w:p>
      <w:pPr>
        <w:spacing w:after="100"/>
      </w:pPr>
      <w:r>
        <w:rPr>
          <w:rFonts w:ascii="Calibri" w:cs="Calibri" w:eastAsia="Calibri" w:hAnsi="Calibri"/>
          <w:b/>
          <w:bCs/>
          <w:sz w:val="22"/>
          <w:szCs w:val="22"/>
        </w:rPr>
        <w:t xml:space="preserve">3. Prevented over-claiming</w:t>
      </w:r>
    </w:p>
    <w:p>
      <w:pPr>
        <w:spacing w:after="100"/>
      </w:pPr>
      <w:r>
        <w:rPr>
          <w:rFonts w:ascii="Calibri" w:cs="Calibri" w:eastAsia="Calibri" w:hAnsi="Calibri"/>
          <w:sz w:val="22"/>
          <w:szCs w:val="22"/>
        </w:rPr>
        <w:t xml:space="preserve">The AI presents something as explicit (no mark) that is actually inferred or speculative. You catch it and correct the classification. This is equally valuable to document.</w:t>
      </w:r>
    </w:p>
    <w:p>
      <w:pPr>
        <w:spacing w:after="100"/>
      </w:pPr>
      <w:r>
        <w:rPr>
          <w:rFonts w:ascii="Calibri" w:cs="Calibri" w:eastAsia="Calibri" w:hAnsi="Calibri"/>
          <w:b/>
          <w:bCs/>
          <w:sz w:val="22"/>
          <w:szCs w:val="22"/>
        </w:rPr>
        <w:t xml:space="preserve">4. Data quality observation</w:t>
      </w:r>
    </w:p>
    <w:p>
      <w:pPr>
        <w:spacing w:after="100"/>
      </w:pPr>
      <w:r>
        <w:rPr>
          <w:rFonts w:ascii="Calibri" w:cs="Calibri" w:eastAsia="Calibri" w:hAnsi="Calibri"/>
          <w:sz w:val="22"/>
          <w:szCs w:val="22"/>
        </w:rPr>
        <w:t xml:space="preserve">A moment where the quality, completeness, or specificity of the source material directly affected what the AI could or could not do. The Stage 0 gap scan is particularly relevant here.</w:t>
      </w:r>
    </w:p>
    <w:p>
      <w:pPr>
        <w:spacing w:after="100"/>
      </w:pPr>
      <w:r>
        <w:rPr>
          <w:rFonts w:ascii="Calibri" w:cs="Calibri" w:eastAsia="Calibri" w:hAnsi="Calibri"/>
          <w:b/>
          <w:bCs/>
          <w:sz w:val="22"/>
          <w:szCs w:val="22"/>
        </w:rPr>
        <w:t xml:space="preserve">5. Your correction or addition</w:t>
      </w:r>
    </w:p>
    <w:p>
      <w:pPr>
        <w:spacing w:after="100"/>
      </w:pPr>
      <w:r>
        <w:rPr>
          <w:rFonts w:ascii="Calibri" w:cs="Calibri" w:eastAsia="Calibri" w:hAnsi="Calibri"/>
          <w:sz w:val="22"/>
          <w:szCs w:val="22"/>
        </w:rPr>
        <w:t xml:space="preserve">Any moment where you corrected, rejected, added to, or redirected the AI’s output. What triggered the intervention? What changed as a result?</w:t>
      </w:r>
    </w:p>
    <w:p>
      <w:pPr>
        <w:spacing w:after="100"/>
      </w:pPr>
      <w:r>
        <w:rPr>
          <w:rFonts w:ascii="Calibri" w:cs="Calibri" w:eastAsia="Calibri" w:hAnsi="Calibri"/>
          <w:b/>
          <w:bCs/>
          <w:sz w:val="22"/>
          <w:szCs w:val="22"/>
        </w:rPr>
        <w:t xml:space="preserve">6. Surprise or reflection</w:t>
      </w:r>
    </w:p>
    <w:p>
      <w:pPr>
        <w:spacing w:after="100"/>
      </w:pPr>
      <w:r>
        <w:rPr>
          <w:rFonts w:ascii="Calibri" w:cs="Calibri" w:eastAsia="Calibri" w:hAnsi="Calibri"/>
          <w:sz w:val="22"/>
          <w:szCs w:val="22"/>
        </w:rPr>
        <w:t xml:space="preserve">Anything unexpected — positively or negatively. A question the AI asked that made you think differently. An output that felt “too generic” or “surprisingly precise.”</w:t>
      </w:r>
    </w:p>
    <w:p>
      <w:pPr>
        <w:pBdr>
          <w:bottom w:val="single" w:color="B0B0B0" w:sz="4" w:space="1"/>
        </w:pBdr>
        <w:spacing w:before="100" w:after="100"/>
      </w:pPr>
    </w:p>
    <w:p>
      <w:pPr>
        <w:pStyle w:val="Heading1"/>
        <w:spacing w:before="360" w:after="180"/>
      </w:pPr>
      <w:r>
        <w:rPr>
          <w:b/>
          <w:bCs/>
        </w:rPr>
        <w:t xml:space="preserve">Observation Log</w:t>
      </w:r>
    </w:p>
    <w:p>
      <w:pPr>
        <w:spacing w:after="100"/>
      </w:pPr>
      <w:r>
        <w:rPr>
          <w:rFonts w:ascii="Calibri" w:cs="Calibri" w:eastAsia="Calibri" w:hAnsi="Calibri"/>
          <w:sz w:val="22"/>
          <w:szCs w:val="22"/>
        </w:rPr>
        <w:t xml:space="preserve">Fill in during the assessment. One row per notable moment. Not every stage will have one — that’s fine. Aim for 5–10 entries across the full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500"/>
        <w:gridCol w:w="1800"/>
        <w:gridCol w:w="2038"/>
      </w:tblGrid>
      <w:tr>
        <w:tc>
          <w:tcPr>
            <w:tcW w:type="dxa" w:w="900"/>
            <w:tcBorders>
              <w:top w:val="single" w:color="B0B0B0" w:sz="1"/>
              <w:left w:val="single" w:color="B0B0B0" w:sz="1"/>
              <w:bottom w:val="single" w:color="B0B0B0" w:sz="1"/>
              <w:right w:val="single" w:color="B0B0B0" w:sz="1"/>
            </w:tcBorders>
            <w:shd w:fill="2E4057"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Stage</w:t>
            </w:r>
          </w:p>
        </w:tc>
        <w:tc>
          <w:tcPr>
            <w:tcW w:type="dxa" w:w="1400"/>
            <w:tcBorders>
              <w:top w:val="single" w:color="B0B0B0" w:sz="1"/>
              <w:left w:val="single" w:color="B0B0B0" w:sz="1"/>
              <w:bottom w:val="single" w:color="B0B0B0" w:sz="1"/>
              <w:right w:val="single" w:color="B0B0B0" w:sz="1"/>
            </w:tcBorders>
            <w:shd w:fill="2E4057"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Type</w:t>
            </w:r>
          </w:p>
        </w:tc>
        <w:tc>
          <w:tcPr>
            <w:tcW w:type="dxa" w:w="3500"/>
            <w:tcBorders>
              <w:top w:val="single" w:color="B0B0B0" w:sz="1"/>
              <w:left w:val="single" w:color="B0B0B0" w:sz="1"/>
              <w:bottom w:val="single" w:color="B0B0B0" w:sz="1"/>
              <w:right w:val="single" w:color="B0B0B0" w:sz="1"/>
            </w:tcBorders>
            <w:shd w:fill="2E4057"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What happened</w:t>
            </w:r>
          </w:p>
        </w:tc>
        <w:tc>
          <w:tcPr>
            <w:tcW w:type="dxa" w:w="1800"/>
            <w:tcBorders>
              <w:top w:val="single" w:color="B0B0B0" w:sz="1"/>
              <w:left w:val="single" w:color="B0B0B0" w:sz="1"/>
              <w:bottom w:val="single" w:color="B0B0B0" w:sz="1"/>
              <w:right w:val="single" w:color="B0B0B0" w:sz="1"/>
            </w:tcBorders>
            <w:shd w:fill="2E4057"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What I did</w:t>
            </w:r>
          </w:p>
        </w:tc>
        <w:tc>
          <w:tcPr>
            <w:tcW w:type="dxa" w:w="2038"/>
            <w:tcBorders>
              <w:top w:val="single" w:color="B0B0B0" w:sz="1"/>
              <w:left w:val="single" w:color="B0B0B0" w:sz="1"/>
              <w:bottom w:val="single" w:color="B0B0B0" w:sz="1"/>
              <w:right w:val="single" w:color="B0B0B0" w:sz="1"/>
            </w:tcBorders>
            <w:shd w:fill="2E4057"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Note</w:t>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r>
        <w:tc>
          <w:tcPr>
            <w:tcW w:type="dxa" w:w="9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4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35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1800"/>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c>
          <w:tcPr>
            <w:tcW w:type="dxa" w:w="2038"/>
            <w:tcBorders>
              <w:top w:val="single" w:color="B0B0B0" w:sz="1"/>
              <w:left w:val="single" w:color="B0B0B0" w:sz="1"/>
              <w:bottom w:val="single" w:color="B0B0B0" w:sz="1"/>
              <w:right w:val="single" w:color="B0B0B0" w:sz="1"/>
            </w:tcBorders>
            <w:tcMar>
              <w:top w:type="dxa" w:w="60"/>
              <w:left w:type="dxa" w:w="80"/>
              <w:bottom w:type="dxa" w:w="60"/>
              <w:right w:type="dxa" w:w="80"/>
            </w:tcMar>
          </w:tcPr>
          <w:p>
            <w:pPr>
              <w:spacing w:after="600"/>
            </w:pPr>
            <w:r>
              <w:rPr>
                <w:rFonts w:ascii="Calibri" w:cs="Calibri" w:eastAsia="Calibri" w:hAnsi="Calibri"/>
                <w:sz w:val="20"/>
                <w:szCs w:val="20"/>
              </w:rPr>
              <w:t xml:space="preserve"/>
            </w:r>
          </w:p>
        </w:tc>
      </w:tr>
    </w:tbl>
    <w:p>
      <w:pPr>
        <w:spacing w:after="100"/>
      </w:pPr>
      <w:r>
        <w:rPr>
          <w:rFonts w:ascii="Calibri" w:cs="Calibri" w:eastAsia="Calibri" w:hAnsi="Calibri"/>
          <w:sz w:val="22"/>
          <w:szCs w:val="22"/>
        </w:rPr>
        <w:t xml:space="preserve"/>
      </w:r>
    </w:p>
    <w:p>
      <w:pPr>
        <w:spacing w:after="100"/>
      </w:pPr>
      <w:r>
        <w:rPr>
          <w:rFonts w:ascii="Calibri" w:cs="Calibri" w:eastAsia="Calibri" w:hAnsi="Calibri"/>
          <w:i/>
          <w:iCs/>
          <w:color w:val="666666"/>
          <w:sz w:val="20"/>
          <w:szCs w:val="20"/>
        </w:rPr>
        <w:t xml:space="preserve">Type codes: ° insight | 💭 hypothesis | over-claim | data quality | my correction | surprise</w:t>
      </w:r>
    </w:p>
    <w:p>
      <w:pPr>
        <w:pBdr>
          <w:bottom w:val="single" w:color="B0B0B0" w:sz="4" w:space="1"/>
        </w:pBdr>
        <w:spacing w:before="100" w:after="100"/>
      </w:pPr>
    </w:p>
    <w:p>
      <w:pPr>
        <w:pStyle w:val="Heading1"/>
        <w:spacing w:before="360" w:after="180"/>
      </w:pPr>
      <w:r>
        <w:rPr>
          <w:b/>
          <w:bCs/>
        </w:rPr>
        <w:t xml:space="preserve">After the Assessment</w:t>
      </w:r>
    </w:p>
    <w:p>
      <w:pPr>
        <w:pStyle w:val="Heading2"/>
        <w:spacing w:before="280" w:after="140"/>
      </w:pPr>
      <w:r>
        <w:rPr>
          <w:b/>
          <w:bCs/>
        </w:rPr>
        <w:t xml:space="preserve">Save everything</w:t>
      </w:r>
    </w:p>
    <w:p>
      <w:pPr>
        <w:pStyle w:val="ListParagraph"/>
        <w:numPr>
          <w:ilvl w:val="0"/>
          <w:numId w:val="2"/>
        </w:numPr>
        <w:spacing w:after="70"/>
      </w:pPr>
      <w:r>
        <w:rPr>
          <w:rFonts w:ascii="Calibri" w:cs="Calibri" w:eastAsia="Calibri" w:hAnsi="Calibri"/>
          <w:sz w:val="22"/>
          <w:szCs w:val="22"/>
        </w:rPr>
        <w:t xml:space="preserve">All stage outputs (copy the full conversation or export)</w:t>
      </w:r>
    </w:p>
    <w:p>
      <w:pPr>
        <w:pStyle w:val="ListParagraph"/>
        <w:numPr>
          <w:ilvl w:val="0"/>
          <w:numId w:val="2"/>
        </w:numPr>
        <w:spacing w:after="70"/>
      </w:pPr>
      <w:r>
        <w:rPr>
          <w:rFonts w:ascii="Calibri" w:cs="Calibri" w:eastAsia="Calibri" w:hAnsi="Calibri"/>
          <w:sz w:val="22"/>
          <w:szCs w:val="22"/>
        </w:rPr>
        <w:t xml:space="preserve">Knowledge Graph, if generated</w:t>
      </w:r>
    </w:p>
    <w:p>
      <w:pPr>
        <w:pStyle w:val="ListParagraph"/>
        <w:numPr>
          <w:ilvl w:val="0"/>
          <w:numId w:val="2"/>
        </w:numPr>
        <w:spacing w:after="70"/>
      </w:pPr>
      <w:r>
        <w:rPr>
          <w:rFonts w:ascii="Calibri" w:cs="Calibri" w:eastAsia="Calibri" w:hAnsi="Calibri"/>
          <w:sz w:val="22"/>
          <w:szCs w:val="22"/>
        </w:rPr>
        <w:t xml:space="preserve">Session Report (the bot produces this after Stage 6 — answer the three debrief questions)</w:t>
      </w:r>
    </w:p>
    <w:p>
      <w:pPr>
        <w:pStyle w:val="ListParagraph"/>
        <w:numPr>
          <w:ilvl w:val="0"/>
          <w:numId w:val="2"/>
        </w:numPr>
        <w:spacing w:after="70"/>
      </w:pPr>
      <w:r>
        <w:rPr>
          <w:rFonts w:ascii="Calibri" w:cs="Calibri" w:eastAsia="Calibri" w:hAnsi="Calibri"/>
          <w:sz w:val="22"/>
          <w:szCs w:val="22"/>
        </w:rPr>
        <w:t xml:space="preserve">This observation log</w:t>
      </w:r>
    </w:p>
    <w:p>
      <w:pPr>
        <w:pStyle w:val="Heading2"/>
        <w:spacing w:before="280" w:after="140"/>
      </w:pPr>
      <w:r>
        <w:rPr>
          <w:b/>
          <w:bCs/>
        </w:rPr>
        <w:t xml:space="preserve">Three reflection questions</w:t>
      </w:r>
    </w:p>
    <w:p>
      <w:pPr>
        <w:spacing w:after="100"/>
      </w:pPr>
      <w:r>
        <w:rPr>
          <w:rFonts w:ascii="Calibri" w:cs="Calibri" w:eastAsia="Calibri" w:hAnsi="Calibri"/>
          <w:sz w:val="22"/>
          <w:szCs w:val="22"/>
        </w:rPr>
        <w:t xml:space="preserve">Write a few sentences on each — these will feed directly into the paper’s Discussion section.</w:t>
      </w:r>
    </w:p>
    <w:p>
      <w:pPr>
        <w:spacing w:after="100"/>
      </w:pPr>
      <w:r>
        <w:rPr>
          <w:rFonts w:ascii="Calibri" w:cs="Calibri" w:eastAsia="Calibri" w:hAnsi="Calibri"/>
          <w:b/>
          <w:bCs/>
          <w:sz w:val="22"/>
          <w:szCs w:val="22"/>
        </w:rPr>
        <w:t xml:space="preserve">1. Control and direction</w:t>
      </w:r>
    </w:p>
    <w:p>
      <w:pPr>
        <w:spacing w:after="100"/>
      </w:pPr>
      <w:r>
        <w:rPr>
          <w:rFonts w:ascii="Calibri" w:cs="Calibri" w:eastAsia="Calibri" w:hAnsi="Calibri"/>
          <w:sz w:val="22"/>
          <w:szCs w:val="22"/>
        </w:rPr>
        <w:t xml:space="preserve">At which points did you feel you were directing the assessment? Were there moments where the AI seemed to be leading? How did the stage-by-stage checkpoints affect your sense of control?</w:t>
      </w:r>
    </w:p>
    <w:p>
      <w:pPr>
        <w:spacing w:after="100"/>
      </w:pPr>
      <w:r>
        <w:rPr>
          <w:rFonts w:ascii="Calibri" w:cs="Calibri" w:eastAsia="Calibri" w:hAnsi="Calibri"/>
          <w:b/>
          <w:bCs/>
          <w:sz w:val="22"/>
          <w:szCs w:val="22"/>
        </w:rPr>
        <w:t xml:space="preserve">2. The uncertainty notation in practice</w:t>
      </w:r>
    </w:p>
    <w:p>
      <w:pPr>
        <w:spacing w:after="100"/>
      </w:pPr>
      <w:r>
        <w:rPr>
          <w:rFonts w:ascii="Calibri" w:cs="Calibri" w:eastAsia="Calibri" w:hAnsi="Calibri"/>
          <w:sz w:val="22"/>
          <w:szCs w:val="22"/>
        </w:rPr>
        <w:t xml:space="preserve">Did the °/💭 marking change how you read the AI’s output? Were there moments where the marking itself prompted you to look more carefully at the source material? Did the AI’s classification feel accurate, roughly right, or unreliable?</w:t>
      </w:r>
    </w:p>
    <w:p>
      <w:pPr>
        <w:spacing w:after="100"/>
      </w:pPr>
      <w:r>
        <w:rPr>
          <w:rFonts w:ascii="Calibri" w:cs="Calibri" w:eastAsia="Calibri" w:hAnsi="Calibri"/>
          <w:b/>
          <w:bCs/>
          <w:sz w:val="22"/>
          <w:szCs w:val="22"/>
        </w:rPr>
        <w:t xml:space="preserve">3. New insights</w:t>
      </w:r>
    </w:p>
    <w:p>
      <w:pPr>
        <w:spacing w:after="100"/>
      </w:pPr>
      <w:r>
        <w:rPr>
          <w:rFonts w:ascii="Calibri" w:cs="Calibri" w:eastAsia="Calibri" w:hAnsi="Calibri"/>
          <w:sz w:val="22"/>
          <w:szCs w:val="22"/>
        </w:rPr>
        <w:t xml:space="preserve">Did the assessment surface anything you had not noticed or considered when working with the same material without AI? If so — was it a connection between contexts, an interpretive angle, a gap you hadn’t identified, or something else? Would you have reached this insight on your own, given enough time?</w:t>
      </w:r>
    </w:p>
    <w:p>
      <w:pPr>
        <w:pBdr>
          <w:bottom w:val="single" w:color="B0B0B0" w:sz="4" w:space="1"/>
        </w:pBdr>
        <w:spacing w:before="100" w:after="100"/>
      </w:pPr>
    </w:p>
    <w:p>
      <w:pPr>
        <w:pStyle w:val="Heading1"/>
        <w:spacing w:before="360" w:after="180"/>
      </w:pPr>
      <w:r>
        <w:rPr>
          <w:b/>
          <w:bCs/>
        </w:rPr>
        <w:t xml:space="preserve">Practical Notes</w:t>
      </w:r>
    </w:p>
    <w:p>
      <w:pPr>
        <w:pStyle w:val="ListParagraph"/>
        <w:numPr>
          <w:ilvl w:val="0"/>
          <w:numId w:val="2"/>
        </w:numPr>
        <w:spacing w:after="70"/>
      </w:pPr>
      <w:r>
        <w:rPr>
          <w:rFonts w:ascii="Calibri" w:cs="Calibri" w:eastAsia="Calibri" w:hAnsi="Calibri"/>
          <w:sz w:val="22"/>
          <w:szCs w:val="22"/>
        </w:rPr>
        <w:t xml:space="preserve">Platform: use whichever LLM you prefer (Claude, GPT, Gemini, DeepSeek)</w:t>
      </w:r>
    </w:p>
    <w:p>
      <w:pPr>
        <w:pStyle w:val="ListParagraph"/>
        <w:numPr>
          <w:ilvl w:val="0"/>
          <w:numId w:val="2"/>
        </w:numPr>
        <w:spacing w:after="70"/>
      </w:pPr>
      <w:r>
        <w:rPr>
          <w:rFonts w:ascii="Calibri" w:cs="Calibri" w:eastAsia="Calibri" w:hAnsi="Calibri"/>
          <w:sz w:val="22"/>
          <w:szCs w:val="22"/>
        </w:rPr>
        <w:t xml:space="preserve">Upload the dolmen documentation at the start; let the bot run Stage 0</w:t>
      </w:r>
    </w:p>
    <w:p>
      <w:pPr>
        <w:pStyle w:val="ListParagraph"/>
        <w:numPr>
          <w:ilvl w:val="0"/>
          <w:numId w:val="2"/>
        </w:numPr>
        <w:spacing w:after="70"/>
      </w:pPr>
      <w:r>
        <w:rPr>
          <w:rFonts w:ascii="Calibri" w:cs="Calibri" w:eastAsia="Calibri" w:hAnsi="Calibri"/>
          <w:sz w:val="22"/>
          <w:szCs w:val="22"/>
        </w:rPr>
        <w:t xml:space="preserve">Follow the natural flow — don’t skip stages or rush</w:t>
      </w:r>
    </w:p>
    <w:p>
      <w:pPr>
        <w:pStyle w:val="ListParagraph"/>
        <w:numPr>
          <w:ilvl w:val="0"/>
          <w:numId w:val="2"/>
        </w:numPr>
        <w:spacing w:after="70"/>
      </w:pPr>
      <w:r>
        <w:rPr>
          <w:rFonts w:ascii="Calibri" w:cs="Calibri" w:eastAsia="Calibri" w:hAnsi="Calibri"/>
          <w:sz w:val="22"/>
          <w:szCs w:val="22"/>
        </w:rPr>
        <w:t xml:space="preserve">The observation log is for your eyes and the research team — shorthand is fine</w:t>
      </w:r>
    </w:p>
    <w:p>
      <w:pPr>
        <w:pStyle w:val="ListParagraph"/>
        <w:numPr>
          <w:ilvl w:val="0"/>
          <w:numId w:val="2"/>
        </w:numPr>
        <w:spacing w:after="70"/>
      </w:pPr>
      <w:r>
        <w:rPr>
          <w:rFonts w:ascii="Calibri" w:cs="Calibri" w:eastAsia="Calibri" w:hAnsi="Calibri"/>
          <w:sz w:val="22"/>
          <w:szCs w:val="22"/>
        </w:rPr>
        <w:t xml:space="preserve">If something notable happens and you can’t pause to write, just note the stage number and a keyword — fill in details after</w:t>
      </w:r>
    </w:p>
    <w:p>
      <w:pPr>
        <w:pStyle w:val="ListParagraph"/>
        <w:numPr>
          <w:ilvl w:val="0"/>
          <w:numId w:val="2"/>
        </w:numPr>
        <w:spacing w:after="70"/>
      </w:pPr>
      <w:r>
        <w:rPr>
          <w:rFonts w:ascii="Calibri" w:cs="Calibri" w:eastAsia="Calibri" w:hAnsi="Calibri"/>
          <w:sz w:val="22"/>
          <w:szCs w:val="22"/>
        </w:rPr>
        <w:t xml:space="preserve">Estimated time: depends on material volume. Allow 2–4 hours for a full run with documentation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libri" w:cs="Calibri" w:eastAsia="Calibri" w:hAnsi="Calibri"/>
      <w:b/>
      <w:bCs/>
      <w:color w:val="2E4057"/>
      <w:sz w:val="30"/>
      <w:szCs w:val="30"/>
    </w:rPr>
  </w:style>
  <w:style w:type="paragraph" w:styleId="Heading2">
    <w:name w:val="Heading 2"/>
    <w:basedOn w:val="Normal"/>
    <w:next w:val="Normal"/>
    <w:qFormat/>
    <w:pPr>
      <w:spacing w:before="280" w:after="140"/>
      <w:outlineLvl w:val="1"/>
    </w:pPr>
    <w:rPr>
      <w:rFonts w:ascii="Calibri" w:cs="Calibri" w:eastAsia="Calibri" w:hAnsi="Calibri"/>
      <w:b/>
      <w:bCs/>
      <w:color w:val="4A7C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2026-03-21T14:08:37.614Z</dcterms:created>
  <dcterms:modified xsi:type="dcterms:W3CDTF">2026-03-21T14:08:37.615Z</dcterms:modified>
</cp:coreProperties>
</file>

<file path=docProps/custom.xml><?xml version="1.0" encoding="utf-8"?>
<Properties xmlns="http://schemas.openxmlformats.org/officeDocument/2006/custom-properties" xmlns:vt="http://schemas.openxmlformats.org/officeDocument/2006/docPropsVTypes"/>
</file>