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 w:tblpY="1940"/>
        <w:tblW w:w="18480" w:type="dxa"/>
        <w:shd w:val="clear" w:color="auto" w:fill="1C2539"/>
        <w:tblCellMar>
          <w:left w:w="0" w:type="dxa"/>
          <w:right w:w="0" w:type="dxa"/>
        </w:tblCellMar>
        <w:tblLook w:val="04A0" w:firstRow="1" w:lastRow="0" w:firstColumn="1" w:lastColumn="0" w:noHBand="0" w:noVBand="1"/>
      </w:tblPr>
      <w:tblGrid>
        <w:gridCol w:w="1499"/>
        <w:gridCol w:w="4027"/>
        <w:gridCol w:w="6667"/>
        <w:gridCol w:w="6287"/>
      </w:tblGrid>
      <w:tr w:rsidR="00FC4197" w:rsidRPr="00D83F1D" w:rsidTr="00FC4197">
        <w:trPr>
          <w:tblHeader/>
        </w:trPr>
        <w:tc>
          <w:tcPr>
            <w:tcW w:w="0" w:type="auto"/>
            <w:shd w:val="clear" w:color="auto" w:fill="212C42"/>
            <w:vAlign w:val="center"/>
            <w:hideMark/>
          </w:tcPr>
          <w:p w:rsidR="00FC4197" w:rsidRPr="00D83F1D" w:rsidRDefault="00FC4197" w:rsidP="00FC4197">
            <w:pPr>
              <w:spacing w:after="0" w:line="240" w:lineRule="auto"/>
              <w:rPr>
                <w:rFonts w:ascii="Arial" w:eastAsia="Times New Roman" w:hAnsi="Arial" w:cs="Arial"/>
                <w:b/>
                <w:bCs/>
                <w:color w:val="F9F9FB"/>
                <w:sz w:val="24"/>
                <w:szCs w:val="24"/>
              </w:rPr>
            </w:pPr>
            <w:r w:rsidRPr="00D83F1D">
              <w:rPr>
                <w:rFonts w:ascii="Arial" w:eastAsia="Times New Roman" w:hAnsi="Arial" w:cs="Arial"/>
                <w:b/>
                <w:bCs/>
                <w:color w:val="F9F9FB"/>
                <w:sz w:val="24"/>
                <w:szCs w:val="24"/>
              </w:rPr>
              <w:t>Indicator</w:t>
            </w:r>
          </w:p>
        </w:tc>
        <w:tc>
          <w:tcPr>
            <w:tcW w:w="0" w:type="auto"/>
            <w:shd w:val="clear" w:color="auto" w:fill="212C42"/>
            <w:vAlign w:val="center"/>
            <w:hideMark/>
          </w:tcPr>
          <w:p w:rsidR="00FC4197" w:rsidRPr="00D83F1D" w:rsidRDefault="00FC4197" w:rsidP="00FC4197">
            <w:pPr>
              <w:spacing w:after="0" w:line="240" w:lineRule="auto"/>
              <w:rPr>
                <w:rFonts w:ascii="Arial" w:eastAsia="Times New Roman" w:hAnsi="Arial" w:cs="Arial"/>
                <w:b/>
                <w:bCs/>
                <w:color w:val="F9F9FB"/>
                <w:sz w:val="24"/>
                <w:szCs w:val="24"/>
              </w:rPr>
            </w:pPr>
            <w:r w:rsidRPr="00D83F1D">
              <w:rPr>
                <w:rFonts w:ascii="Arial" w:eastAsia="Times New Roman" w:hAnsi="Arial" w:cs="Arial"/>
                <w:b/>
                <w:bCs/>
                <w:color w:val="F9F9FB"/>
                <w:sz w:val="24"/>
                <w:szCs w:val="24"/>
              </w:rPr>
              <w:t>Example</w:t>
            </w:r>
          </w:p>
        </w:tc>
        <w:tc>
          <w:tcPr>
            <w:tcW w:w="0" w:type="auto"/>
            <w:shd w:val="clear" w:color="auto" w:fill="212C42"/>
            <w:vAlign w:val="center"/>
            <w:hideMark/>
          </w:tcPr>
          <w:p w:rsidR="00FC4197" w:rsidRPr="00D83F1D" w:rsidRDefault="00FC4197" w:rsidP="00FC4197">
            <w:pPr>
              <w:spacing w:after="0" w:line="240" w:lineRule="auto"/>
              <w:rPr>
                <w:rFonts w:ascii="Arial" w:eastAsia="Times New Roman" w:hAnsi="Arial" w:cs="Arial"/>
                <w:b/>
                <w:bCs/>
                <w:color w:val="F9F9FB"/>
                <w:sz w:val="24"/>
                <w:szCs w:val="24"/>
              </w:rPr>
            </w:pPr>
            <w:r w:rsidRPr="00D83F1D">
              <w:rPr>
                <w:rFonts w:ascii="Arial" w:eastAsia="Times New Roman" w:hAnsi="Arial" w:cs="Arial"/>
                <w:b/>
                <w:bCs/>
                <w:color w:val="F9F9FB"/>
                <w:sz w:val="24"/>
                <w:szCs w:val="24"/>
              </w:rPr>
              <w:t>First Resources</w:t>
            </w:r>
          </w:p>
        </w:tc>
        <w:tc>
          <w:tcPr>
            <w:tcW w:w="0" w:type="auto"/>
            <w:tcBorders>
              <w:right w:val="nil"/>
            </w:tcBorders>
            <w:shd w:val="clear" w:color="auto" w:fill="212C42"/>
            <w:vAlign w:val="center"/>
            <w:hideMark/>
          </w:tcPr>
          <w:p w:rsidR="00FC4197" w:rsidRPr="00D83F1D" w:rsidRDefault="00FC4197" w:rsidP="00FC4197">
            <w:pPr>
              <w:spacing w:after="0" w:line="240" w:lineRule="auto"/>
              <w:rPr>
                <w:rFonts w:ascii="Arial" w:eastAsia="Times New Roman" w:hAnsi="Arial" w:cs="Arial"/>
                <w:b/>
                <w:bCs/>
                <w:color w:val="F9F9FB"/>
                <w:sz w:val="24"/>
                <w:szCs w:val="24"/>
              </w:rPr>
            </w:pPr>
            <w:r w:rsidRPr="00D83F1D">
              <w:rPr>
                <w:rFonts w:ascii="Arial" w:eastAsia="Times New Roman" w:hAnsi="Arial" w:cs="Arial"/>
                <w:b/>
                <w:bCs/>
                <w:color w:val="F9F9FB"/>
                <w:sz w:val="24"/>
                <w:szCs w:val="24"/>
              </w:rPr>
              <w:t>Associated IOA or TTP Examples</w:t>
            </w:r>
          </w:p>
        </w:tc>
      </w:tr>
      <w:tr w:rsidR="00FC4197" w:rsidRPr="00D83F1D" w:rsidTr="00FC4197">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b/>
                <w:bCs/>
                <w:color w:val="B8BEC9"/>
                <w:sz w:val="24"/>
                <w:szCs w:val="24"/>
              </w:rPr>
              <w:t>IPv4 / IPv6</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Courier New" w:eastAsia="Times New Roman" w:hAnsi="Courier New" w:cs="Courier New"/>
                <w:color w:val="FFFFFF"/>
                <w:sz w:val="20"/>
                <w:szCs w:val="20"/>
                <w:shd w:val="clear" w:color="auto" w:fill="3E475A"/>
              </w:rPr>
              <w:t>45.155.205.3</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 xml:space="preserve">• WHOIS (ASN, allocation date) · </w:t>
            </w:r>
            <w:proofErr w:type="spellStart"/>
            <w:r w:rsidRPr="00D83F1D">
              <w:rPr>
                <w:rFonts w:ascii="Arial" w:eastAsia="Times New Roman" w:hAnsi="Arial" w:cs="Arial"/>
                <w:color w:val="B8BEC9"/>
                <w:sz w:val="24"/>
                <w:szCs w:val="24"/>
              </w:rPr>
              <w:t>VirusTotal</w:t>
            </w:r>
            <w:proofErr w:type="spellEnd"/>
            <w:r w:rsidRPr="00D83F1D">
              <w:rPr>
                <w:rFonts w:ascii="Arial" w:eastAsia="Times New Roman" w:hAnsi="Arial" w:cs="Arial"/>
                <w:color w:val="B8BEC9"/>
                <w:sz w:val="24"/>
                <w:szCs w:val="24"/>
              </w:rPr>
              <w:t xml:space="preserve"> Relations· </w:t>
            </w:r>
            <w:proofErr w:type="spellStart"/>
            <w:r w:rsidRPr="00D83F1D">
              <w:rPr>
                <w:rFonts w:ascii="Arial" w:eastAsia="Times New Roman" w:hAnsi="Arial" w:cs="Arial"/>
                <w:color w:val="B8BEC9"/>
                <w:sz w:val="24"/>
                <w:szCs w:val="24"/>
              </w:rPr>
              <w:t>Shodan</w:t>
            </w:r>
            <w:proofErr w:type="spellEnd"/>
            <w:r w:rsidRPr="00D83F1D">
              <w:rPr>
                <w:rFonts w:ascii="Arial" w:eastAsia="Times New Roman" w:hAnsi="Arial" w:cs="Arial"/>
                <w:color w:val="B8BEC9"/>
                <w:sz w:val="24"/>
                <w:szCs w:val="24"/>
              </w:rPr>
              <w:t xml:space="preserve"> banner scan</w:t>
            </w:r>
          </w:p>
        </w:tc>
        <w:tc>
          <w:tcPr>
            <w:tcW w:w="0" w:type="auto"/>
            <w:tcBorders>
              <w:right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IOA: Repeated SSH failures TTP: </w:t>
            </w:r>
            <w:r w:rsidRPr="00D83F1D">
              <w:rPr>
                <w:rFonts w:ascii="Courier New" w:eastAsia="Times New Roman" w:hAnsi="Courier New" w:cs="Courier New"/>
                <w:color w:val="FFFFFF"/>
                <w:sz w:val="20"/>
                <w:szCs w:val="20"/>
                <w:shd w:val="clear" w:color="auto" w:fill="3E475A"/>
              </w:rPr>
              <w:t>T1110.003</w:t>
            </w:r>
            <w:r w:rsidRPr="00D83F1D">
              <w:rPr>
                <w:rFonts w:ascii="Arial" w:eastAsia="Times New Roman" w:hAnsi="Arial" w:cs="Arial"/>
                <w:color w:val="B8BEC9"/>
                <w:sz w:val="24"/>
                <w:szCs w:val="24"/>
              </w:rPr>
              <w:t>Password Guessing</w:t>
            </w:r>
          </w:p>
        </w:tc>
      </w:tr>
      <w:tr w:rsidR="00FC4197" w:rsidRPr="00D83F1D" w:rsidTr="00FC4197">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b/>
                <w:bCs/>
                <w:color w:val="B8BEC9"/>
                <w:sz w:val="24"/>
                <w:szCs w:val="24"/>
              </w:rPr>
              <w:t>Domain / FQDN</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Courier New" w:eastAsia="Times New Roman" w:hAnsi="Courier New" w:cs="Courier New"/>
                <w:color w:val="FFFFFF"/>
                <w:sz w:val="20"/>
                <w:szCs w:val="20"/>
                <w:shd w:val="clear" w:color="auto" w:fill="3E475A"/>
              </w:rPr>
              <w:t>malicious-</w:t>
            </w:r>
            <w:proofErr w:type="gramStart"/>
            <w:r w:rsidRPr="00D83F1D">
              <w:rPr>
                <w:rFonts w:ascii="Courier New" w:eastAsia="Times New Roman" w:hAnsi="Courier New" w:cs="Courier New"/>
                <w:color w:val="FFFFFF"/>
                <w:sz w:val="20"/>
                <w:szCs w:val="20"/>
                <w:shd w:val="clear" w:color="auto" w:fill="3E475A"/>
              </w:rPr>
              <w:t>updates[</w:t>
            </w:r>
            <w:proofErr w:type="gramEnd"/>
            <w:r w:rsidRPr="00D83F1D">
              <w:rPr>
                <w:rFonts w:ascii="Courier New" w:eastAsia="Times New Roman" w:hAnsi="Courier New" w:cs="Courier New"/>
                <w:color w:val="FFFFFF"/>
                <w:sz w:val="20"/>
                <w:szCs w:val="20"/>
                <w:shd w:val="clear" w:color="auto" w:fill="3E475A"/>
              </w:rPr>
              <w:t>.]net</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 xml:space="preserve">• WHOIS age · </w:t>
            </w:r>
            <w:proofErr w:type="spellStart"/>
            <w:r w:rsidRPr="00D83F1D">
              <w:rPr>
                <w:rFonts w:ascii="Arial" w:eastAsia="Times New Roman" w:hAnsi="Arial" w:cs="Arial"/>
                <w:color w:val="B8BEC9"/>
                <w:sz w:val="24"/>
                <w:szCs w:val="24"/>
              </w:rPr>
              <w:t>RiskIQ</w:t>
            </w:r>
            <w:proofErr w:type="spellEnd"/>
            <w:r w:rsidRPr="00D83F1D">
              <w:rPr>
                <w:rFonts w:ascii="Arial" w:eastAsia="Times New Roman" w:hAnsi="Arial" w:cs="Arial"/>
                <w:color w:val="B8BEC9"/>
                <w:sz w:val="24"/>
                <w:szCs w:val="24"/>
              </w:rPr>
              <w:t xml:space="preserve"> or </w:t>
            </w:r>
            <w:proofErr w:type="spellStart"/>
            <w:r w:rsidRPr="00D83F1D">
              <w:rPr>
                <w:rFonts w:ascii="Arial" w:eastAsia="Times New Roman" w:hAnsi="Arial" w:cs="Arial"/>
                <w:color w:val="B8BEC9"/>
                <w:sz w:val="24"/>
                <w:szCs w:val="24"/>
              </w:rPr>
              <w:t>SecurityTrails</w:t>
            </w:r>
            <w:proofErr w:type="spellEnd"/>
            <w:r w:rsidRPr="00D83F1D">
              <w:rPr>
                <w:rFonts w:ascii="Arial" w:eastAsia="Times New Roman" w:hAnsi="Arial" w:cs="Arial"/>
                <w:color w:val="B8BEC9"/>
                <w:sz w:val="24"/>
                <w:szCs w:val="24"/>
              </w:rPr>
              <w:t xml:space="preserve"> passive-DNS · urlscan.io</w:t>
            </w:r>
          </w:p>
        </w:tc>
        <w:tc>
          <w:tcPr>
            <w:tcW w:w="0" w:type="auto"/>
            <w:tcBorders>
              <w:right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IOA: surge of DNS queries to a 24-hour-old domain</w:t>
            </w:r>
          </w:p>
        </w:tc>
      </w:tr>
      <w:tr w:rsidR="00FC4197" w:rsidRPr="00D83F1D" w:rsidTr="00FC4197">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b/>
                <w:bCs/>
                <w:color w:val="B8BEC9"/>
                <w:sz w:val="24"/>
                <w:szCs w:val="24"/>
              </w:rPr>
              <w:t>URL</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proofErr w:type="gramStart"/>
            <w:r w:rsidRPr="00D83F1D">
              <w:rPr>
                <w:rFonts w:ascii="Courier New" w:eastAsia="Times New Roman" w:hAnsi="Courier New" w:cs="Courier New"/>
                <w:color w:val="FFFFFF"/>
                <w:sz w:val="20"/>
                <w:szCs w:val="20"/>
                <w:shd w:val="clear" w:color="auto" w:fill="3E475A"/>
              </w:rPr>
              <w:t>hxxp</w:t>
            </w:r>
            <w:proofErr w:type="gramEnd"/>
            <w:r w:rsidRPr="00D83F1D">
              <w:rPr>
                <w:rFonts w:ascii="Courier New" w:eastAsia="Times New Roman" w:hAnsi="Courier New" w:cs="Courier New"/>
                <w:color w:val="FFFFFF"/>
                <w:sz w:val="20"/>
                <w:szCs w:val="20"/>
                <w:shd w:val="clear" w:color="auto" w:fill="3E475A"/>
              </w:rPr>
              <w:t>://malicious-updates[.]net/login</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 xml:space="preserve">• </w:t>
            </w:r>
            <w:proofErr w:type="spellStart"/>
            <w:r w:rsidRPr="00D83F1D">
              <w:rPr>
                <w:rFonts w:ascii="Arial" w:eastAsia="Times New Roman" w:hAnsi="Arial" w:cs="Arial"/>
                <w:color w:val="B8BEC9"/>
                <w:sz w:val="24"/>
                <w:szCs w:val="24"/>
              </w:rPr>
              <w:t>URLhaus</w:t>
            </w:r>
            <w:proofErr w:type="spellEnd"/>
            <w:r w:rsidRPr="00D83F1D">
              <w:rPr>
                <w:rFonts w:ascii="Arial" w:eastAsia="Times New Roman" w:hAnsi="Arial" w:cs="Arial"/>
                <w:color w:val="B8BEC9"/>
                <w:sz w:val="24"/>
                <w:szCs w:val="24"/>
              </w:rPr>
              <w:t xml:space="preserve"> reputation · urlscan.io </w:t>
            </w:r>
            <w:proofErr w:type="spellStart"/>
            <w:r w:rsidRPr="00D83F1D">
              <w:rPr>
                <w:rFonts w:ascii="Arial" w:eastAsia="Times New Roman" w:hAnsi="Arial" w:cs="Arial"/>
                <w:color w:val="B8BEC9"/>
                <w:sz w:val="24"/>
                <w:szCs w:val="24"/>
              </w:rPr>
              <w:t>behaviour</w:t>
            </w:r>
            <w:proofErr w:type="spellEnd"/>
            <w:r w:rsidRPr="00D83F1D">
              <w:rPr>
                <w:rFonts w:ascii="Arial" w:eastAsia="Times New Roman" w:hAnsi="Arial" w:cs="Arial"/>
                <w:color w:val="B8BEC9"/>
                <w:sz w:val="24"/>
                <w:szCs w:val="24"/>
              </w:rPr>
              <w:t xml:space="preserve"> graph · </w:t>
            </w:r>
            <w:proofErr w:type="spellStart"/>
            <w:r w:rsidRPr="00D83F1D">
              <w:rPr>
                <w:rFonts w:ascii="Arial" w:eastAsia="Times New Roman" w:hAnsi="Arial" w:cs="Arial"/>
                <w:color w:val="B8BEC9"/>
                <w:sz w:val="24"/>
                <w:szCs w:val="24"/>
              </w:rPr>
              <w:t>Any.Run</w:t>
            </w:r>
            <w:proofErr w:type="spellEnd"/>
            <w:r w:rsidRPr="00D83F1D">
              <w:rPr>
                <w:rFonts w:ascii="Arial" w:eastAsia="Times New Roman" w:hAnsi="Arial" w:cs="Arial"/>
                <w:color w:val="B8BEC9"/>
                <w:sz w:val="24"/>
                <w:szCs w:val="24"/>
              </w:rPr>
              <w:t xml:space="preserve"> dynamic run (network off)</w:t>
            </w:r>
          </w:p>
        </w:tc>
        <w:tc>
          <w:tcPr>
            <w:tcW w:w="0" w:type="auto"/>
            <w:tcBorders>
              <w:right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IOA: Browser POST to /</w:t>
            </w:r>
            <w:proofErr w:type="spellStart"/>
            <w:r w:rsidRPr="00D83F1D">
              <w:rPr>
                <w:rFonts w:ascii="Arial" w:eastAsia="Times New Roman" w:hAnsi="Arial" w:cs="Arial"/>
                <w:color w:val="B8BEC9"/>
                <w:sz w:val="24"/>
                <w:szCs w:val="24"/>
              </w:rPr>
              <w:t>gateway.php</w:t>
            </w:r>
            <w:proofErr w:type="spellEnd"/>
            <w:r w:rsidRPr="00D83F1D">
              <w:rPr>
                <w:rFonts w:ascii="Arial" w:eastAsia="Times New Roman" w:hAnsi="Arial" w:cs="Arial"/>
                <w:color w:val="B8BEC9"/>
                <w:sz w:val="24"/>
                <w:szCs w:val="24"/>
              </w:rPr>
              <w:t> with payload</w:t>
            </w:r>
          </w:p>
        </w:tc>
      </w:tr>
      <w:tr w:rsidR="00FC4197" w:rsidRPr="00D83F1D" w:rsidTr="00FC4197">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b/>
                <w:bCs/>
                <w:color w:val="B8BEC9"/>
                <w:sz w:val="24"/>
                <w:szCs w:val="24"/>
              </w:rPr>
              <w:t>File hash</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Courier New" w:eastAsia="Times New Roman" w:hAnsi="Courier New" w:cs="Courier New"/>
                <w:color w:val="FFFFFF"/>
                <w:sz w:val="20"/>
                <w:szCs w:val="20"/>
                <w:shd w:val="clear" w:color="auto" w:fill="3E475A"/>
              </w:rPr>
              <w:t>e99a18c428cb38d5…</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 xml:space="preserve">• </w:t>
            </w:r>
            <w:proofErr w:type="spellStart"/>
            <w:r w:rsidRPr="00D83F1D">
              <w:rPr>
                <w:rFonts w:ascii="Arial" w:eastAsia="Times New Roman" w:hAnsi="Arial" w:cs="Arial"/>
                <w:color w:val="B8BEC9"/>
                <w:sz w:val="24"/>
                <w:szCs w:val="24"/>
              </w:rPr>
              <w:t>VirusTotal</w:t>
            </w:r>
            <w:proofErr w:type="spellEnd"/>
            <w:r w:rsidRPr="00D83F1D">
              <w:rPr>
                <w:rFonts w:ascii="Arial" w:eastAsia="Times New Roman" w:hAnsi="Arial" w:cs="Arial"/>
                <w:color w:val="B8BEC9"/>
                <w:sz w:val="24"/>
                <w:szCs w:val="24"/>
              </w:rPr>
              <w:t xml:space="preserve"> static &amp; dynamic · Hybrid-Analysis · </w:t>
            </w:r>
            <w:proofErr w:type="spellStart"/>
            <w:r w:rsidRPr="00D83F1D">
              <w:rPr>
                <w:rFonts w:ascii="Arial" w:eastAsia="Times New Roman" w:hAnsi="Arial" w:cs="Arial"/>
                <w:color w:val="B8BEC9"/>
                <w:sz w:val="24"/>
                <w:szCs w:val="24"/>
              </w:rPr>
              <w:t>MalShare</w:t>
            </w:r>
            <w:proofErr w:type="spellEnd"/>
            <w:r w:rsidRPr="00D83F1D">
              <w:rPr>
                <w:rFonts w:ascii="Arial" w:eastAsia="Times New Roman" w:hAnsi="Arial" w:cs="Arial"/>
                <w:color w:val="B8BEC9"/>
                <w:sz w:val="24"/>
                <w:szCs w:val="24"/>
              </w:rPr>
              <w:t xml:space="preserve"> corpus</w:t>
            </w:r>
          </w:p>
        </w:tc>
        <w:tc>
          <w:tcPr>
            <w:tcW w:w="0" w:type="auto"/>
            <w:tcBorders>
              <w:right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TTP: T1055 Process Injection into regsvr32.exe</w:t>
            </w:r>
          </w:p>
        </w:tc>
      </w:tr>
      <w:tr w:rsidR="00FC4197" w:rsidRPr="00D83F1D" w:rsidTr="00FC4197">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b/>
                <w:bCs/>
                <w:color w:val="B8BEC9"/>
                <w:sz w:val="24"/>
                <w:szCs w:val="24"/>
              </w:rPr>
              <w:t>E-mail address</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Courier New" w:eastAsia="Times New Roman" w:hAnsi="Courier New" w:cs="Courier New"/>
                <w:color w:val="FFFFFF"/>
                <w:sz w:val="20"/>
                <w:szCs w:val="20"/>
                <w:shd w:val="clear" w:color="auto" w:fill="3E475A"/>
              </w:rPr>
              <w:t>billing@evil-corp.com</w:t>
            </w:r>
          </w:p>
        </w:tc>
        <w:tc>
          <w:tcPr>
            <w:tcW w:w="0" w:type="auto"/>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 xml:space="preserve">• </w:t>
            </w:r>
            <w:proofErr w:type="spellStart"/>
            <w:r w:rsidRPr="00D83F1D">
              <w:rPr>
                <w:rFonts w:ascii="Arial" w:eastAsia="Times New Roman" w:hAnsi="Arial" w:cs="Arial"/>
                <w:color w:val="B8BEC9"/>
                <w:sz w:val="24"/>
                <w:szCs w:val="24"/>
              </w:rPr>
              <w:t>MXToolbox</w:t>
            </w:r>
            <w:proofErr w:type="spellEnd"/>
            <w:r w:rsidRPr="00D83F1D">
              <w:rPr>
                <w:rFonts w:ascii="Arial" w:eastAsia="Times New Roman" w:hAnsi="Arial" w:cs="Arial"/>
                <w:color w:val="B8BEC9"/>
                <w:sz w:val="24"/>
                <w:szCs w:val="24"/>
              </w:rPr>
              <w:t xml:space="preserve"> header analysis • Have I Been </w:t>
            </w:r>
            <w:proofErr w:type="spellStart"/>
            <w:r w:rsidRPr="00D83F1D">
              <w:rPr>
                <w:rFonts w:ascii="Arial" w:eastAsia="Times New Roman" w:hAnsi="Arial" w:cs="Arial"/>
                <w:color w:val="B8BEC9"/>
                <w:sz w:val="24"/>
                <w:szCs w:val="24"/>
              </w:rPr>
              <w:t>Pwned</w:t>
            </w:r>
            <w:proofErr w:type="spellEnd"/>
          </w:p>
        </w:tc>
        <w:tc>
          <w:tcPr>
            <w:tcW w:w="0" w:type="auto"/>
            <w:tcBorders>
              <w:right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IOA: SPF failure plus recent domain registration</w:t>
            </w:r>
          </w:p>
        </w:tc>
      </w:tr>
      <w:tr w:rsidR="00FC4197" w:rsidRPr="00D83F1D" w:rsidTr="00FC4197">
        <w:tc>
          <w:tcPr>
            <w:tcW w:w="0" w:type="auto"/>
            <w:tcBorders>
              <w:bottom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b/>
                <w:bCs/>
                <w:color w:val="B8BEC9"/>
                <w:sz w:val="24"/>
                <w:szCs w:val="24"/>
              </w:rPr>
              <w:t>Local artefact</w:t>
            </w:r>
          </w:p>
        </w:tc>
        <w:tc>
          <w:tcPr>
            <w:tcW w:w="0" w:type="auto"/>
            <w:tcBorders>
              <w:bottom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Courier New" w:eastAsia="Times New Roman" w:hAnsi="Courier New" w:cs="Courier New"/>
                <w:color w:val="FFFFFF"/>
                <w:sz w:val="20"/>
                <w:szCs w:val="20"/>
                <w:shd w:val="clear" w:color="auto" w:fill="3E475A"/>
              </w:rPr>
              <w:t>HKCU\Software\Run\updater.exe</w:t>
            </w:r>
          </w:p>
        </w:tc>
        <w:tc>
          <w:tcPr>
            <w:tcW w:w="0" w:type="auto"/>
            <w:tcBorders>
              <w:bottom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 Sigma rules · EDR prevalence query · Vendor knowledge bas</w:t>
            </w:r>
          </w:p>
        </w:tc>
        <w:tc>
          <w:tcPr>
            <w:tcW w:w="0" w:type="auto"/>
            <w:tcBorders>
              <w:bottom w:val="nil"/>
              <w:right w:val="nil"/>
            </w:tcBorders>
            <w:shd w:val="clear" w:color="auto" w:fill="1C2539"/>
            <w:vAlign w:val="center"/>
            <w:hideMark/>
          </w:tcPr>
          <w:p w:rsidR="00FC4197" w:rsidRPr="00D83F1D" w:rsidRDefault="00FC4197" w:rsidP="00FC4197">
            <w:pPr>
              <w:spacing w:after="0" w:line="240" w:lineRule="auto"/>
              <w:rPr>
                <w:rFonts w:ascii="Arial" w:eastAsia="Times New Roman" w:hAnsi="Arial" w:cs="Arial"/>
                <w:color w:val="B8BEC9"/>
                <w:sz w:val="24"/>
                <w:szCs w:val="24"/>
              </w:rPr>
            </w:pPr>
            <w:r w:rsidRPr="00D83F1D">
              <w:rPr>
                <w:rFonts w:ascii="Arial" w:eastAsia="Times New Roman" w:hAnsi="Arial" w:cs="Arial"/>
                <w:color w:val="B8BEC9"/>
                <w:sz w:val="24"/>
                <w:szCs w:val="24"/>
              </w:rPr>
              <w:t>TTP: T1060.001 Registry Run Keys</w:t>
            </w:r>
          </w:p>
        </w:tc>
      </w:tr>
    </w:tbl>
    <w:p w:rsidR="00FC4197" w:rsidRPr="00FC4197" w:rsidRDefault="00FC4197" w:rsidP="00FC4197">
      <w:pPr>
        <w:shd w:val="clear" w:color="auto" w:fill="151C2B"/>
        <w:spacing w:before="100" w:beforeAutospacing="1" w:after="100" w:afterAutospacing="1" w:line="240" w:lineRule="auto"/>
        <w:outlineLvl w:val="0"/>
        <w:rPr>
          <w:rFonts w:ascii="Ubuntu" w:eastAsia="Times New Roman" w:hAnsi="Ubuntu" w:cs="Times New Roman"/>
          <w:color w:val="F9F9FB"/>
          <w:kern w:val="36"/>
          <w:sz w:val="48"/>
          <w:szCs w:val="48"/>
        </w:rPr>
      </w:pPr>
      <w:r w:rsidRPr="00FC4197">
        <w:rPr>
          <w:rFonts w:ascii="Ubuntu" w:eastAsia="Times New Roman" w:hAnsi="Ubuntu" w:cs="Times New Roman"/>
          <w:color w:val="F9F9FB"/>
          <w:kern w:val="36"/>
          <w:sz w:val="48"/>
          <w:szCs w:val="48"/>
        </w:rPr>
        <w:t>Intro to Cyber Threat Intel</w:t>
      </w:r>
    </w:p>
    <w:p w:rsidR="00831675" w:rsidRDefault="00831675" w:rsidP="00831675">
      <w:pPr>
        <w:pStyle w:val="Heading2"/>
      </w:pPr>
      <w:r>
        <w:rPr>
          <w:rFonts w:ascii="Segoe UI Symbol" w:hAnsi="Segoe UI Symbol" w:cs="Segoe UI Symbol"/>
        </w:rPr>
        <w:t>📓</w:t>
      </w:r>
      <w:r>
        <w:t xml:space="preserve"> </w:t>
      </w:r>
      <w:r>
        <w:rPr>
          <w:rStyle w:val="Strong"/>
          <w:b w:val="0"/>
          <w:bCs w:val="0"/>
        </w:rPr>
        <w:t>Notes – Intro to Cyber Threat Intel</w:t>
      </w:r>
    </w:p>
    <w:p w:rsidR="00831675" w:rsidRDefault="00831675" w:rsidP="00831675">
      <w:pPr>
        <w:pStyle w:val="NormalWeb"/>
      </w:pPr>
      <w:r>
        <w:rPr>
          <w:rStyle w:val="Strong"/>
        </w:rPr>
        <w:t>Lab Name:</w:t>
      </w:r>
      <w:r>
        <w:t xml:space="preserve"> Intro to Cyber Threat Intel</w:t>
      </w:r>
    </w:p>
    <w:p w:rsidR="00831675" w:rsidRDefault="00831675" w:rsidP="00831675">
      <w:pPr>
        <w:pStyle w:val="NormalWeb"/>
      </w:pPr>
      <w:r>
        <w:rPr>
          <w:rStyle w:val="Strong"/>
        </w:rPr>
        <w:t>Summary</w:t>
      </w:r>
      <w:proofErr w:type="gramStart"/>
      <w:r>
        <w:rPr>
          <w:rStyle w:val="Strong"/>
        </w:rPr>
        <w:t>:</w:t>
      </w:r>
      <w:proofErr w:type="gramEnd"/>
      <w:r>
        <w:br/>
        <w:t xml:space="preserve">This lab introduces the concept of </w:t>
      </w:r>
      <w:r>
        <w:rPr>
          <w:rStyle w:val="Strong"/>
        </w:rPr>
        <w:t>Cyber Threat Intelligence (CTI)</w:t>
      </w:r>
      <w:r>
        <w:t xml:space="preserve"> — the process of collecting, analyzing, and sharing information about current and potential threats. CTI helps SOC analysts proactively detect and respond to attacks by understanding the threat landscape and adversary behavior.</w:t>
      </w:r>
    </w:p>
    <w:p w:rsidR="00831675" w:rsidRDefault="00831675" w:rsidP="00831675">
      <w:pPr>
        <w:pStyle w:val="NormalWeb"/>
      </w:pPr>
      <w:r>
        <w:rPr>
          <w:rStyle w:val="Strong"/>
        </w:rPr>
        <w:t>Key Concepts Learned:</w:t>
      </w:r>
    </w:p>
    <w:p w:rsidR="00831675" w:rsidRDefault="00831675" w:rsidP="00831675">
      <w:pPr>
        <w:pStyle w:val="NormalWeb"/>
        <w:numPr>
          <w:ilvl w:val="0"/>
          <w:numId w:val="1"/>
        </w:numPr>
      </w:pPr>
      <w:r>
        <w:rPr>
          <w:rStyle w:val="Strong"/>
        </w:rPr>
        <w:t>Types of CTI:</w:t>
      </w:r>
    </w:p>
    <w:p w:rsidR="00831675" w:rsidRDefault="00831675" w:rsidP="00831675">
      <w:pPr>
        <w:pStyle w:val="NormalWeb"/>
        <w:numPr>
          <w:ilvl w:val="1"/>
          <w:numId w:val="1"/>
        </w:numPr>
      </w:pPr>
      <w:r>
        <w:rPr>
          <w:rStyle w:val="Strong"/>
        </w:rPr>
        <w:t>Strategic</w:t>
      </w:r>
      <w:r>
        <w:t xml:space="preserve"> – High-level, long-term threat trends for executives.</w:t>
      </w:r>
    </w:p>
    <w:p w:rsidR="00831675" w:rsidRDefault="00831675" w:rsidP="00831675">
      <w:pPr>
        <w:pStyle w:val="NormalWeb"/>
        <w:numPr>
          <w:ilvl w:val="1"/>
          <w:numId w:val="1"/>
        </w:numPr>
      </w:pPr>
      <w:r>
        <w:rPr>
          <w:rStyle w:val="Strong"/>
        </w:rPr>
        <w:t>Operational</w:t>
      </w:r>
      <w:r>
        <w:t xml:space="preserve"> – Information about specific attacks or campaigns.</w:t>
      </w:r>
    </w:p>
    <w:p w:rsidR="00831675" w:rsidRDefault="00831675" w:rsidP="00831675">
      <w:pPr>
        <w:pStyle w:val="NormalWeb"/>
        <w:numPr>
          <w:ilvl w:val="1"/>
          <w:numId w:val="1"/>
        </w:numPr>
      </w:pPr>
      <w:r>
        <w:rPr>
          <w:rStyle w:val="Strong"/>
        </w:rPr>
        <w:t>Tactical</w:t>
      </w:r>
      <w:r>
        <w:t xml:space="preserve"> – Technical indicators (IOCs like IPs, hashes) for security tools.</w:t>
      </w:r>
    </w:p>
    <w:p w:rsidR="00831675" w:rsidRDefault="00831675" w:rsidP="00831675">
      <w:pPr>
        <w:pStyle w:val="NormalWeb"/>
        <w:numPr>
          <w:ilvl w:val="1"/>
          <w:numId w:val="1"/>
        </w:numPr>
      </w:pPr>
      <w:r>
        <w:rPr>
          <w:rStyle w:val="Strong"/>
        </w:rPr>
        <w:t>Technical</w:t>
      </w:r>
      <w:r>
        <w:t xml:space="preserve"> – Raw technical data like malware samples or exploit code.</w:t>
      </w:r>
    </w:p>
    <w:p w:rsidR="00831675" w:rsidRDefault="00831675" w:rsidP="00831675">
      <w:pPr>
        <w:pStyle w:val="NormalWeb"/>
        <w:numPr>
          <w:ilvl w:val="0"/>
          <w:numId w:val="1"/>
        </w:numPr>
      </w:pPr>
      <w:r>
        <w:rPr>
          <w:rStyle w:val="Strong"/>
        </w:rPr>
        <w:t>Sources of CTI:</w:t>
      </w:r>
    </w:p>
    <w:p w:rsidR="00831675" w:rsidRDefault="00831675" w:rsidP="00831675">
      <w:pPr>
        <w:pStyle w:val="NormalWeb"/>
        <w:numPr>
          <w:ilvl w:val="1"/>
          <w:numId w:val="2"/>
        </w:numPr>
      </w:pPr>
      <w:r>
        <w:t>Open-source intelligence (OSINT)</w:t>
      </w:r>
    </w:p>
    <w:p w:rsidR="00831675" w:rsidRDefault="00831675" w:rsidP="00831675">
      <w:pPr>
        <w:pStyle w:val="NormalWeb"/>
        <w:numPr>
          <w:ilvl w:val="1"/>
          <w:numId w:val="2"/>
        </w:numPr>
      </w:pPr>
      <w:r>
        <w:t>Commercial feeds</w:t>
      </w:r>
    </w:p>
    <w:p w:rsidR="00831675" w:rsidRDefault="00831675" w:rsidP="00831675">
      <w:pPr>
        <w:pStyle w:val="NormalWeb"/>
        <w:numPr>
          <w:ilvl w:val="1"/>
          <w:numId w:val="2"/>
        </w:numPr>
      </w:pPr>
      <w:r>
        <w:t>Industry sharing groups (ISACs)</w:t>
      </w:r>
    </w:p>
    <w:p w:rsidR="00831675" w:rsidRDefault="00831675" w:rsidP="00831675">
      <w:pPr>
        <w:pStyle w:val="NormalWeb"/>
        <w:numPr>
          <w:ilvl w:val="1"/>
          <w:numId w:val="2"/>
        </w:numPr>
      </w:pPr>
      <w:r>
        <w:t xml:space="preserve">Threat intel platforms (MISP, </w:t>
      </w:r>
      <w:proofErr w:type="spellStart"/>
      <w:r>
        <w:t>OpenCTI</w:t>
      </w:r>
      <w:proofErr w:type="spellEnd"/>
      <w:r>
        <w:t>)</w:t>
      </w:r>
    </w:p>
    <w:p w:rsidR="00831675" w:rsidRDefault="00831675" w:rsidP="00831675">
      <w:pPr>
        <w:pStyle w:val="NormalWeb"/>
        <w:numPr>
          <w:ilvl w:val="0"/>
          <w:numId w:val="2"/>
        </w:numPr>
      </w:pPr>
      <w:r>
        <w:rPr>
          <w:rStyle w:val="Strong"/>
        </w:rPr>
        <w:t>Benefits for SOC Analysts:</w:t>
      </w:r>
    </w:p>
    <w:p w:rsidR="00831675" w:rsidRDefault="00831675" w:rsidP="00831675">
      <w:pPr>
        <w:pStyle w:val="NormalWeb"/>
        <w:numPr>
          <w:ilvl w:val="1"/>
          <w:numId w:val="2"/>
        </w:numPr>
      </w:pPr>
      <w:r>
        <w:t>Enriches SIEM alerts with context.</w:t>
      </w:r>
    </w:p>
    <w:p w:rsidR="00831675" w:rsidRDefault="00831675" w:rsidP="00831675">
      <w:pPr>
        <w:pStyle w:val="NormalWeb"/>
        <w:numPr>
          <w:ilvl w:val="1"/>
          <w:numId w:val="2"/>
        </w:numPr>
      </w:pPr>
      <w:r>
        <w:t>Helps prioritize threats based on relevance.</w:t>
      </w:r>
    </w:p>
    <w:p w:rsidR="00831675" w:rsidRDefault="00831675" w:rsidP="00831675">
      <w:pPr>
        <w:pStyle w:val="NormalWeb"/>
        <w:numPr>
          <w:ilvl w:val="1"/>
          <w:numId w:val="2"/>
        </w:numPr>
      </w:pPr>
      <w:r>
        <w:t>Enables detection of attacker TTPs earlier in the kill chain.</w:t>
      </w:r>
    </w:p>
    <w:p w:rsidR="00831675" w:rsidRDefault="00831675" w:rsidP="00831675">
      <w:pPr>
        <w:pStyle w:val="NormalWeb"/>
      </w:pPr>
      <w:r>
        <w:rPr>
          <w:rStyle w:val="Strong"/>
        </w:rPr>
        <w:t>Practical Takeaway:</w:t>
      </w:r>
    </w:p>
    <w:p w:rsidR="00831675" w:rsidRDefault="00831675" w:rsidP="00831675">
      <w:pPr>
        <w:pStyle w:val="NormalWeb"/>
        <w:numPr>
          <w:ilvl w:val="0"/>
          <w:numId w:val="3"/>
        </w:numPr>
      </w:pPr>
      <w:r>
        <w:t>Integrating CTI into SOC operations improves accuracy and speed of investigations.</w:t>
      </w:r>
    </w:p>
    <w:p w:rsidR="00831675" w:rsidRDefault="00831675" w:rsidP="00831675">
      <w:pPr>
        <w:pStyle w:val="NormalWeb"/>
        <w:numPr>
          <w:ilvl w:val="0"/>
          <w:numId w:val="3"/>
        </w:numPr>
      </w:pPr>
      <w:r>
        <w:lastRenderedPageBreak/>
        <w:t xml:space="preserve">Focus on relevance — not all threat </w:t>
      </w:r>
      <w:proofErr w:type="gramStart"/>
      <w:r>
        <w:t>intel</w:t>
      </w:r>
      <w:proofErr w:type="gramEnd"/>
      <w:r>
        <w:t xml:space="preserve"> applies to your environment.</w:t>
      </w:r>
    </w:p>
    <w:p w:rsidR="00D83F1D" w:rsidRDefault="00D83F1D">
      <w:pPr>
        <w:rPr>
          <w:noProof/>
        </w:rPr>
      </w:pPr>
      <w:bookmarkStart w:id="0" w:name="_GoBack"/>
      <w:bookmarkEnd w:id="0"/>
    </w:p>
    <w:p w:rsidR="002D62F1" w:rsidRDefault="00FC4197">
      <w:r>
        <w:rPr>
          <w:noProof/>
        </w:rPr>
        <w:lastRenderedPageBreak/>
        <w:drawing>
          <wp:inline distT="0" distB="0" distL="0" distR="0" wp14:anchorId="6EE1964C" wp14:editId="7AA6DE0C">
            <wp:extent cx="5943600" cy="3529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9330"/>
                    </a:xfrm>
                    <a:prstGeom prst="rect">
                      <a:avLst/>
                    </a:prstGeom>
                  </pic:spPr>
                </pic:pic>
              </a:graphicData>
            </a:graphic>
          </wp:inline>
        </w:drawing>
      </w:r>
      <w:r w:rsidR="00D83F1D">
        <w:rPr>
          <w:noProof/>
        </w:rPr>
        <w:drawing>
          <wp:inline distT="0" distB="0" distL="0" distR="0" wp14:anchorId="1DDB0E76" wp14:editId="615A7A97">
            <wp:extent cx="5943600" cy="4111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1625"/>
                    </a:xfrm>
                    <a:prstGeom prst="rect">
                      <a:avLst/>
                    </a:prstGeom>
                  </pic:spPr>
                </pic:pic>
              </a:graphicData>
            </a:graphic>
          </wp:inline>
        </w:drawing>
      </w:r>
    </w:p>
    <w:sectPr w:rsidR="002D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75842"/>
    <w:multiLevelType w:val="multilevel"/>
    <w:tmpl w:val="349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F6E6B"/>
    <w:multiLevelType w:val="multilevel"/>
    <w:tmpl w:val="AA505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1D"/>
    <w:rsid w:val="002D62F1"/>
    <w:rsid w:val="00831675"/>
    <w:rsid w:val="00D83F1D"/>
    <w:rsid w:val="00FC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622"/>
  <w15:chartTrackingRefBased/>
  <w15:docId w15:val="{60E51CC0-7F45-4A55-95F0-C77C843A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16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lossary-term">
    <w:name w:val="glossary-term"/>
    <w:basedOn w:val="DefaultParagraphFont"/>
    <w:rsid w:val="00D83F1D"/>
  </w:style>
  <w:style w:type="character" w:styleId="Strong">
    <w:name w:val="Strong"/>
    <w:basedOn w:val="DefaultParagraphFont"/>
    <w:uiPriority w:val="22"/>
    <w:qFormat/>
    <w:rsid w:val="00D83F1D"/>
    <w:rPr>
      <w:b/>
      <w:bCs/>
    </w:rPr>
  </w:style>
  <w:style w:type="character" w:styleId="HTMLCode">
    <w:name w:val="HTML Code"/>
    <w:basedOn w:val="DefaultParagraphFont"/>
    <w:uiPriority w:val="99"/>
    <w:semiHidden/>
    <w:unhideWhenUsed/>
    <w:rsid w:val="00D83F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C41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316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316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0993">
      <w:bodyDiv w:val="1"/>
      <w:marLeft w:val="0"/>
      <w:marRight w:val="0"/>
      <w:marTop w:val="0"/>
      <w:marBottom w:val="0"/>
      <w:divBdr>
        <w:top w:val="none" w:sz="0" w:space="0" w:color="auto"/>
        <w:left w:val="none" w:sz="0" w:space="0" w:color="auto"/>
        <w:bottom w:val="none" w:sz="0" w:space="0" w:color="auto"/>
        <w:right w:val="none" w:sz="0" w:space="0" w:color="auto"/>
      </w:divBdr>
    </w:div>
    <w:div w:id="258754526">
      <w:bodyDiv w:val="1"/>
      <w:marLeft w:val="0"/>
      <w:marRight w:val="0"/>
      <w:marTop w:val="0"/>
      <w:marBottom w:val="0"/>
      <w:divBdr>
        <w:top w:val="none" w:sz="0" w:space="0" w:color="auto"/>
        <w:left w:val="none" w:sz="0" w:space="0" w:color="auto"/>
        <w:bottom w:val="none" w:sz="0" w:space="0" w:color="auto"/>
        <w:right w:val="none" w:sz="0" w:space="0" w:color="auto"/>
      </w:divBdr>
    </w:div>
    <w:div w:id="132843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Qadeer</dc:creator>
  <cp:keywords/>
  <dc:description/>
  <cp:lastModifiedBy>Inam Qadeer</cp:lastModifiedBy>
  <cp:revision>1</cp:revision>
  <dcterms:created xsi:type="dcterms:W3CDTF">2025-08-02T14:48:00Z</dcterms:created>
  <dcterms:modified xsi:type="dcterms:W3CDTF">2025-08-02T17:01:00Z</dcterms:modified>
</cp:coreProperties>
</file>