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CF3E1" w14:textId="77777777" w:rsidR="0049529F" w:rsidRDefault="0049529F">
      <w:pPr>
        <w:spacing w:after="80"/>
      </w:pPr>
    </w:p>
    <w:p w14:paraId="4154E6AA" w14:textId="77777777" w:rsidR="0049529F" w:rsidRDefault="0049529F">
      <w:pPr>
        <w:spacing w:after="80"/>
      </w:pPr>
    </w:p>
    <w:p w14:paraId="7121DF32" w14:textId="77777777" w:rsidR="0049529F" w:rsidRDefault="00000000">
      <w:pPr>
        <w:spacing w:after="60"/>
        <w:jc w:val="center"/>
      </w:pPr>
      <w:r>
        <w:rPr>
          <w:i/>
          <w:iCs/>
          <w:color w:val="888888"/>
          <w:sz w:val="22"/>
          <w:szCs w:val="22"/>
        </w:rPr>
        <w:t>Université Hassan 1er</w:t>
      </w:r>
    </w:p>
    <w:p w14:paraId="3B7C8065" w14:textId="77777777" w:rsidR="0049529F" w:rsidRDefault="00000000">
      <w:pPr>
        <w:spacing w:after="60"/>
        <w:jc w:val="center"/>
      </w:pPr>
      <w:r>
        <w:rPr>
          <w:b/>
          <w:bCs/>
          <w:color w:val="006633"/>
          <w:sz w:val="28"/>
          <w:szCs w:val="28"/>
        </w:rPr>
        <w:t>ÉCOLE NATIONALE DE COMMERCE ET DE GESTION</w:t>
      </w:r>
    </w:p>
    <w:p w14:paraId="325666A7" w14:textId="77777777" w:rsidR="0049529F" w:rsidRDefault="00000000">
      <w:pPr>
        <w:spacing w:after="300"/>
        <w:jc w:val="center"/>
      </w:pPr>
      <w:r>
        <w:rPr>
          <w:b/>
          <w:bCs/>
          <w:color w:val="006633"/>
          <w:sz w:val="28"/>
          <w:szCs w:val="28"/>
        </w:rPr>
        <w:t>DE SETTAT</w:t>
      </w:r>
    </w:p>
    <w:p w14:paraId="37ACE4D8" w14:textId="77777777" w:rsidR="0049529F" w:rsidRDefault="0049529F">
      <w:pPr>
        <w:pBdr>
          <w:bottom w:val="single" w:sz="12" w:space="1" w:color="D4A017"/>
        </w:pBdr>
        <w:spacing w:after="320"/>
        <w:jc w:val="center"/>
      </w:pPr>
    </w:p>
    <w:p w14:paraId="7ED3F394" w14:textId="77777777" w:rsidR="0049529F" w:rsidRDefault="00000000">
      <w:pPr>
        <w:spacing w:after="100"/>
        <w:jc w:val="center"/>
      </w:pPr>
      <w:r>
        <w:rPr>
          <w:b/>
          <w:bCs/>
          <w:color w:val="004422"/>
          <w:sz w:val="36"/>
          <w:szCs w:val="36"/>
        </w:rPr>
        <w:t>COMPTE RENDU DE PROJET</w:t>
      </w:r>
    </w:p>
    <w:p w14:paraId="24346F0D" w14:textId="77777777" w:rsidR="0049529F" w:rsidRDefault="00000000">
      <w:pPr>
        <w:spacing w:after="320"/>
        <w:jc w:val="center"/>
      </w:pPr>
      <w:r>
        <w:rPr>
          <w:i/>
          <w:iCs/>
          <w:color w:val="D4A017"/>
          <w:sz w:val="26"/>
          <w:szCs w:val="26"/>
        </w:rPr>
        <w:t>Module Intelligence Artificielle</w:t>
      </w:r>
    </w:p>
    <w:p w14:paraId="0A9509FC" w14:textId="77777777" w:rsidR="0049529F" w:rsidRDefault="0049529F">
      <w:pPr>
        <w:pBdr>
          <w:bottom w:val="single" w:sz="6" w:space="1" w:color="006633"/>
        </w:pBdr>
        <w:spacing w:after="36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9529F" w14:paraId="19951F0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2ACCE3C" w14:textId="77777777" w:rsidR="0049529F" w:rsidRDefault="00000000">
            <w:r>
              <w:rPr>
                <w:b/>
                <w:bCs/>
                <w:color w:val="004422"/>
                <w:sz w:val="22"/>
                <w:szCs w:val="22"/>
              </w:rPr>
              <w:t>Intitulé :</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A70846E" w14:textId="77777777" w:rsidR="0049529F" w:rsidRDefault="00000000">
            <w:r>
              <w:rPr>
                <w:sz w:val="22"/>
                <w:szCs w:val="22"/>
              </w:rPr>
              <w:t>Détection de Fraude par Carte de Crédit — Analyse et Classification par Machine Learning</w:t>
            </w:r>
          </w:p>
        </w:tc>
      </w:tr>
      <w:tr w:rsidR="0049529F" w14:paraId="0C7FF0D4"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8D3B8FE" w14:textId="77777777" w:rsidR="0049529F" w:rsidRDefault="00000000">
            <w:r>
              <w:rPr>
                <w:b/>
                <w:bCs/>
                <w:color w:val="004422"/>
                <w:sz w:val="22"/>
                <w:szCs w:val="22"/>
              </w:rPr>
              <w:t>Module :</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D6CA843" w14:textId="77777777" w:rsidR="0049529F" w:rsidRDefault="00000000">
            <w:r>
              <w:rPr>
                <w:sz w:val="22"/>
                <w:szCs w:val="22"/>
              </w:rPr>
              <w:t>Intelligence Artificielle</w:t>
            </w:r>
          </w:p>
        </w:tc>
      </w:tr>
      <w:tr w:rsidR="0049529F" w14:paraId="2396351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346AA5E" w14:textId="77777777" w:rsidR="0049529F" w:rsidRDefault="00000000">
            <w:r>
              <w:rPr>
                <w:b/>
                <w:bCs/>
                <w:color w:val="004422"/>
                <w:sz w:val="22"/>
                <w:szCs w:val="22"/>
              </w:rPr>
              <w:t>Filière :</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9029836" w14:textId="0BEDF15E" w:rsidR="0049529F" w:rsidRDefault="00000000">
            <w:r>
              <w:rPr>
                <w:sz w:val="22"/>
                <w:szCs w:val="22"/>
              </w:rPr>
              <w:t xml:space="preserve">Finance </w:t>
            </w:r>
            <w:r w:rsidR="009A0394">
              <w:rPr>
                <w:sz w:val="22"/>
                <w:szCs w:val="22"/>
              </w:rPr>
              <w:t>— S</w:t>
            </w:r>
            <w:r>
              <w:rPr>
                <w:sz w:val="22"/>
                <w:szCs w:val="22"/>
              </w:rPr>
              <w:t>8</w:t>
            </w:r>
          </w:p>
        </w:tc>
      </w:tr>
      <w:tr w:rsidR="0049529F" w:rsidRPr="009A0394" w14:paraId="7F23025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47ECB21" w14:textId="77777777" w:rsidR="0049529F" w:rsidRDefault="00000000">
            <w:r>
              <w:rPr>
                <w:b/>
                <w:bCs/>
                <w:color w:val="004422"/>
                <w:sz w:val="22"/>
                <w:szCs w:val="22"/>
              </w:rPr>
              <w:t>Réalisé par :</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F4397CB" w14:textId="3D0CDC70" w:rsidR="0049529F" w:rsidRPr="009A0394" w:rsidRDefault="00000000">
            <w:pPr>
              <w:rPr>
                <w:lang w:val="en-US"/>
              </w:rPr>
            </w:pPr>
            <w:r w:rsidRPr="009A0394">
              <w:rPr>
                <w:sz w:val="22"/>
                <w:szCs w:val="22"/>
                <w:lang w:val="en-US"/>
              </w:rPr>
              <w:t xml:space="preserve">EL YESRI </w:t>
            </w:r>
            <w:r w:rsidR="009A0394" w:rsidRPr="009A0394">
              <w:rPr>
                <w:sz w:val="22"/>
                <w:szCs w:val="22"/>
                <w:lang w:val="en-US"/>
              </w:rPr>
              <w:t>Inass |</w:t>
            </w:r>
            <w:r w:rsidRPr="009A0394">
              <w:rPr>
                <w:sz w:val="22"/>
                <w:szCs w:val="22"/>
                <w:lang w:val="en-US"/>
              </w:rPr>
              <w:t xml:space="preserve">  EL GAOUT Saad</w:t>
            </w:r>
          </w:p>
        </w:tc>
      </w:tr>
      <w:tr w:rsidR="0049529F" w14:paraId="728B3C6D"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D1CA069" w14:textId="77777777" w:rsidR="0049529F" w:rsidRDefault="00000000">
            <w:r>
              <w:rPr>
                <w:b/>
                <w:bCs/>
                <w:color w:val="004422"/>
                <w:sz w:val="22"/>
                <w:szCs w:val="22"/>
              </w:rPr>
              <w:t>Encadrant :</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E42C4F8" w14:textId="77777777" w:rsidR="0049529F" w:rsidRDefault="00000000">
            <w:r>
              <w:rPr>
                <w:sz w:val="22"/>
                <w:szCs w:val="22"/>
              </w:rPr>
              <w:t>M. Abderrahim Larhlimi</w:t>
            </w:r>
          </w:p>
        </w:tc>
      </w:tr>
      <w:tr w:rsidR="0049529F" w14:paraId="6A7D972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29A15BC" w14:textId="77777777" w:rsidR="0049529F" w:rsidRDefault="00000000">
            <w:r>
              <w:rPr>
                <w:b/>
                <w:bCs/>
                <w:color w:val="004422"/>
                <w:sz w:val="22"/>
                <w:szCs w:val="22"/>
              </w:rPr>
              <w:t>Année universitaire :</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C40BC1E" w14:textId="77777777" w:rsidR="0049529F" w:rsidRDefault="00000000">
            <w:r>
              <w:rPr>
                <w:sz w:val="22"/>
                <w:szCs w:val="22"/>
              </w:rPr>
              <w:t>2024 – 2025</w:t>
            </w:r>
          </w:p>
        </w:tc>
      </w:tr>
    </w:tbl>
    <w:p w14:paraId="6F1D6FBD" w14:textId="77777777" w:rsidR="0049529F" w:rsidRDefault="0049529F">
      <w:pPr>
        <w:spacing w:after="80"/>
      </w:pPr>
    </w:p>
    <w:p w14:paraId="5754900F" w14:textId="77777777" w:rsidR="0049529F" w:rsidRDefault="0049529F">
      <w:pPr>
        <w:spacing w:after="80"/>
      </w:pPr>
    </w:p>
    <w:p w14:paraId="62276697" w14:textId="77777777" w:rsidR="0049529F" w:rsidRDefault="0049529F">
      <w:pPr>
        <w:spacing w:after="80"/>
      </w:pPr>
    </w:p>
    <w:p w14:paraId="1C979236" w14:textId="77777777" w:rsidR="0049529F" w:rsidRDefault="0049529F">
      <w:pPr>
        <w:pBdr>
          <w:top w:val="single" w:sz="6" w:space="1" w:color="006633"/>
        </w:pBdr>
        <w:spacing w:before="200"/>
        <w:jc w:val="center"/>
      </w:pPr>
    </w:p>
    <w:p w14:paraId="7DD0F5E8" w14:textId="77777777" w:rsidR="0049529F" w:rsidRDefault="00000000">
      <w:pPr>
        <w:jc w:val="center"/>
      </w:pPr>
      <w:r>
        <w:rPr>
          <w:i/>
          <w:iCs/>
          <w:color w:val="888888"/>
          <w:sz w:val="20"/>
          <w:szCs w:val="20"/>
        </w:rPr>
        <w:t>Année Universitaire 2024 – 2025</w:t>
      </w:r>
    </w:p>
    <w:p w14:paraId="5476D2BF" w14:textId="77777777" w:rsidR="0049529F" w:rsidRDefault="00000000">
      <w:r>
        <w:br w:type="page"/>
      </w:r>
    </w:p>
    <w:p w14:paraId="6D7FC0D3" w14:textId="77777777" w:rsidR="0049529F" w:rsidRDefault="00000000">
      <w:pPr>
        <w:spacing w:before="200" w:after="320"/>
        <w:jc w:val="center"/>
      </w:pPr>
      <w:r>
        <w:rPr>
          <w:b/>
          <w:bCs/>
          <w:color w:val="006633"/>
          <w:sz w:val="32"/>
          <w:szCs w:val="32"/>
        </w:rPr>
        <w:lastRenderedPageBreak/>
        <w:t>SOMMAIRE</w:t>
      </w:r>
    </w:p>
    <w:p w14:paraId="59155DE1" w14:textId="77777777" w:rsidR="0049529F" w:rsidRDefault="0049529F">
      <w:pPr>
        <w:pBdr>
          <w:bottom w:val="single" w:sz="6" w:space="1" w:color="006633"/>
        </w:pBdr>
        <w:spacing w:before="100" w:after="100"/>
      </w:pPr>
    </w:p>
    <w:p w14:paraId="23BF6B10" w14:textId="77777777" w:rsidR="0049529F" w:rsidRDefault="0049529F">
      <w:pPr>
        <w:spacing w:after="80"/>
      </w:pPr>
    </w:p>
    <w:p w14:paraId="017B14FD" w14:textId="77777777" w:rsidR="0049529F" w:rsidRDefault="00000000">
      <w:pPr>
        <w:tabs>
          <w:tab w:val="right" w:pos="9026"/>
        </w:tabs>
        <w:spacing w:after="100"/>
      </w:pPr>
      <w:r>
        <w:rPr>
          <w:b/>
          <w:bCs/>
          <w:sz w:val="22"/>
          <w:szCs w:val="22"/>
        </w:rPr>
        <w:t>I.  Introduction</w:t>
      </w:r>
      <w:r>
        <w:rPr>
          <w:sz w:val="22"/>
          <w:szCs w:val="22"/>
        </w:rPr>
        <w:tab/>
        <w:t>3</w:t>
      </w:r>
    </w:p>
    <w:p w14:paraId="69E0EF05" w14:textId="77777777" w:rsidR="0049529F" w:rsidRDefault="00000000">
      <w:pPr>
        <w:tabs>
          <w:tab w:val="right" w:pos="9026"/>
        </w:tabs>
        <w:spacing w:after="100"/>
      </w:pPr>
      <w:r>
        <w:rPr>
          <w:b/>
          <w:bCs/>
          <w:sz w:val="22"/>
          <w:szCs w:val="22"/>
        </w:rPr>
        <w:t>II.  Analyse Exploratoire des Données (EDA)</w:t>
      </w:r>
      <w:r>
        <w:rPr>
          <w:sz w:val="22"/>
          <w:szCs w:val="22"/>
        </w:rPr>
        <w:tab/>
        <w:t>3</w:t>
      </w:r>
    </w:p>
    <w:p w14:paraId="753E8D19" w14:textId="77777777" w:rsidR="0049529F" w:rsidRDefault="00000000">
      <w:pPr>
        <w:tabs>
          <w:tab w:val="right" w:pos="9026"/>
        </w:tabs>
        <w:spacing w:after="100"/>
      </w:pPr>
      <w:r>
        <w:rPr>
          <w:sz w:val="22"/>
          <w:szCs w:val="22"/>
        </w:rPr>
        <w:t xml:space="preserve">  II.1  Distribution des Classes</w:t>
      </w:r>
      <w:r>
        <w:rPr>
          <w:sz w:val="22"/>
          <w:szCs w:val="22"/>
        </w:rPr>
        <w:tab/>
        <w:t>3</w:t>
      </w:r>
    </w:p>
    <w:p w14:paraId="7BB7EE2A" w14:textId="77777777" w:rsidR="0049529F" w:rsidRDefault="00000000">
      <w:pPr>
        <w:tabs>
          <w:tab w:val="right" w:pos="9026"/>
        </w:tabs>
        <w:spacing w:after="100"/>
      </w:pPr>
      <w:r>
        <w:rPr>
          <w:sz w:val="22"/>
          <w:szCs w:val="22"/>
        </w:rPr>
        <w:t xml:space="preserve">  II.2  Analyse du Temps de Transaction</w:t>
      </w:r>
      <w:r>
        <w:rPr>
          <w:sz w:val="22"/>
          <w:szCs w:val="22"/>
        </w:rPr>
        <w:tab/>
        <w:t>4</w:t>
      </w:r>
    </w:p>
    <w:p w14:paraId="5A38CBA6" w14:textId="77777777" w:rsidR="0049529F" w:rsidRDefault="00000000">
      <w:pPr>
        <w:tabs>
          <w:tab w:val="right" w:pos="9026"/>
        </w:tabs>
        <w:spacing w:after="100"/>
      </w:pPr>
      <w:r>
        <w:rPr>
          <w:sz w:val="22"/>
          <w:szCs w:val="22"/>
        </w:rPr>
        <w:t xml:space="preserve">  II.3  Analyse des Montants</w:t>
      </w:r>
      <w:r>
        <w:rPr>
          <w:sz w:val="22"/>
          <w:szCs w:val="22"/>
        </w:rPr>
        <w:tab/>
        <w:t>4</w:t>
      </w:r>
    </w:p>
    <w:p w14:paraId="4FE98C06" w14:textId="77777777" w:rsidR="0049529F" w:rsidRDefault="00000000">
      <w:pPr>
        <w:tabs>
          <w:tab w:val="right" w:pos="9026"/>
        </w:tabs>
        <w:spacing w:after="100"/>
      </w:pPr>
      <w:r>
        <w:rPr>
          <w:sz w:val="22"/>
          <w:szCs w:val="22"/>
        </w:rPr>
        <w:t xml:space="preserve">  II.4  Corrélations entre les Variables</w:t>
      </w:r>
      <w:r>
        <w:rPr>
          <w:sz w:val="22"/>
          <w:szCs w:val="22"/>
        </w:rPr>
        <w:tab/>
        <w:t>4</w:t>
      </w:r>
    </w:p>
    <w:p w14:paraId="4DADB186" w14:textId="77777777" w:rsidR="0049529F" w:rsidRDefault="00000000">
      <w:pPr>
        <w:tabs>
          <w:tab w:val="right" w:pos="9026"/>
        </w:tabs>
        <w:spacing w:after="100"/>
      </w:pPr>
      <w:r>
        <w:rPr>
          <w:sz w:val="22"/>
          <w:szCs w:val="22"/>
        </w:rPr>
        <w:t>III.  Préparation des Données</w:t>
      </w:r>
      <w:r>
        <w:rPr>
          <w:sz w:val="22"/>
          <w:szCs w:val="22"/>
        </w:rPr>
        <w:tab/>
        <w:t>5</w:t>
      </w:r>
    </w:p>
    <w:p w14:paraId="1B803860" w14:textId="77777777" w:rsidR="0049529F" w:rsidRDefault="00000000">
      <w:pPr>
        <w:tabs>
          <w:tab w:val="right" w:pos="9026"/>
        </w:tabs>
        <w:spacing w:after="100"/>
      </w:pPr>
      <w:r>
        <w:rPr>
          <w:b/>
          <w:bCs/>
          <w:sz w:val="22"/>
          <w:szCs w:val="22"/>
        </w:rPr>
        <w:t>IV.  Entraînement et Évaluation des Modèles</w:t>
      </w:r>
      <w:r>
        <w:rPr>
          <w:sz w:val="22"/>
          <w:szCs w:val="22"/>
        </w:rPr>
        <w:tab/>
        <w:t>5</w:t>
      </w:r>
    </w:p>
    <w:p w14:paraId="20FF746C" w14:textId="77777777" w:rsidR="0049529F" w:rsidRDefault="00000000">
      <w:pPr>
        <w:tabs>
          <w:tab w:val="right" w:pos="9026"/>
        </w:tabs>
        <w:spacing w:after="100"/>
      </w:pPr>
      <w:r>
        <w:rPr>
          <w:sz w:val="22"/>
          <w:szCs w:val="22"/>
        </w:rPr>
        <w:t xml:space="preserve">  IV.1  Tableau des Métriques Comparatives</w:t>
      </w:r>
      <w:r>
        <w:rPr>
          <w:sz w:val="22"/>
          <w:szCs w:val="22"/>
        </w:rPr>
        <w:tab/>
        <w:t>6</w:t>
      </w:r>
    </w:p>
    <w:p w14:paraId="032219E5" w14:textId="77777777" w:rsidR="0049529F" w:rsidRDefault="00000000">
      <w:pPr>
        <w:tabs>
          <w:tab w:val="right" w:pos="9026"/>
        </w:tabs>
        <w:spacing w:after="100"/>
      </w:pPr>
      <w:r>
        <w:rPr>
          <w:sz w:val="22"/>
          <w:szCs w:val="22"/>
        </w:rPr>
        <w:t xml:space="preserve">  IV.2  Matrices de Confusion</w:t>
      </w:r>
      <w:r>
        <w:rPr>
          <w:sz w:val="22"/>
          <w:szCs w:val="22"/>
        </w:rPr>
        <w:tab/>
        <w:t>6</w:t>
      </w:r>
    </w:p>
    <w:p w14:paraId="4E4824AE" w14:textId="77777777" w:rsidR="0049529F" w:rsidRDefault="00000000">
      <w:pPr>
        <w:tabs>
          <w:tab w:val="right" w:pos="9026"/>
        </w:tabs>
        <w:spacing w:after="100"/>
      </w:pPr>
      <w:r>
        <w:rPr>
          <w:sz w:val="22"/>
          <w:szCs w:val="22"/>
        </w:rPr>
        <w:t xml:space="preserve">  IV.3  Courbes ROC</w:t>
      </w:r>
      <w:r>
        <w:rPr>
          <w:sz w:val="22"/>
          <w:szCs w:val="22"/>
        </w:rPr>
        <w:tab/>
        <w:t>7</w:t>
      </w:r>
    </w:p>
    <w:p w14:paraId="40B413C9" w14:textId="77777777" w:rsidR="0049529F" w:rsidRDefault="00000000">
      <w:pPr>
        <w:tabs>
          <w:tab w:val="right" w:pos="9026"/>
        </w:tabs>
        <w:spacing w:after="100"/>
      </w:pPr>
      <w:r>
        <w:rPr>
          <w:b/>
          <w:bCs/>
          <w:sz w:val="22"/>
          <w:szCs w:val="22"/>
        </w:rPr>
        <w:t>V.  Explicabilité et Conclusion</w:t>
      </w:r>
      <w:r>
        <w:rPr>
          <w:sz w:val="22"/>
          <w:szCs w:val="22"/>
        </w:rPr>
        <w:tab/>
        <w:t>7</w:t>
      </w:r>
    </w:p>
    <w:p w14:paraId="5767D811" w14:textId="77777777" w:rsidR="0049529F" w:rsidRDefault="00000000">
      <w:pPr>
        <w:tabs>
          <w:tab w:val="right" w:pos="9026"/>
        </w:tabs>
        <w:spacing w:after="100"/>
      </w:pPr>
      <w:r>
        <w:rPr>
          <w:b/>
          <w:bCs/>
          <w:sz w:val="22"/>
          <w:szCs w:val="22"/>
        </w:rPr>
        <w:t xml:space="preserve">  V.1  Variables les plus Influentes</w:t>
      </w:r>
      <w:r>
        <w:rPr>
          <w:sz w:val="22"/>
          <w:szCs w:val="22"/>
        </w:rPr>
        <w:tab/>
        <w:t>7</w:t>
      </w:r>
    </w:p>
    <w:p w14:paraId="45D8DA0B" w14:textId="77777777" w:rsidR="0049529F" w:rsidRDefault="00000000">
      <w:pPr>
        <w:tabs>
          <w:tab w:val="right" w:pos="9026"/>
        </w:tabs>
        <w:spacing w:after="100"/>
      </w:pPr>
      <w:r>
        <w:rPr>
          <w:b/>
          <w:bCs/>
          <w:sz w:val="22"/>
          <w:szCs w:val="22"/>
        </w:rPr>
        <w:t xml:space="preserve">  V.2  Conclusion</w:t>
      </w:r>
      <w:r>
        <w:rPr>
          <w:sz w:val="22"/>
          <w:szCs w:val="22"/>
        </w:rPr>
        <w:tab/>
        <w:t>8</w:t>
      </w:r>
    </w:p>
    <w:p w14:paraId="2B31B7FB" w14:textId="77777777" w:rsidR="0049529F" w:rsidRDefault="0049529F">
      <w:pPr>
        <w:spacing w:after="80"/>
      </w:pPr>
    </w:p>
    <w:p w14:paraId="2D6BE5D0" w14:textId="77777777" w:rsidR="0049529F" w:rsidRDefault="00000000">
      <w:r>
        <w:br w:type="page"/>
      </w:r>
    </w:p>
    <w:p w14:paraId="1F5C16EF" w14:textId="77777777" w:rsidR="0049529F" w:rsidRDefault="00000000">
      <w:pPr>
        <w:pStyle w:val="Heading1"/>
      </w:pPr>
      <w:r>
        <w:lastRenderedPageBreak/>
        <w:t>I.    INTRODUCTION</w:t>
      </w:r>
    </w:p>
    <w:p w14:paraId="2AE89569" w14:textId="77777777" w:rsidR="0049529F" w:rsidRDefault="0049529F">
      <w:pPr>
        <w:pBdr>
          <w:bottom w:val="single" w:sz="6" w:space="1" w:color="006633"/>
        </w:pBdr>
        <w:spacing w:before="100" w:after="100"/>
      </w:pPr>
    </w:p>
    <w:p w14:paraId="37B894AB" w14:textId="77777777" w:rsidR="0049529F" w:rsidRDefault="0049529F">
      <w:pPr>
        <w:spacing w:after="80"/>
      </w:pPr>
    </w:p>
    <w:p w14:paraId="3F2C2E73" w14:textId="77777777" w:rsidR="0049529F" w:rsidRDefault="00000000">
      <w:pPr>
        <w:spacing w:after="120" w:line="360" w:lineRule="auto"/>
        <w:ind w:firstLine="360"/>
        <w:jc w:val="both"/>
      </w:pPr>
      <w:r>
        <w:t>Le présent compte rendu expose l'intégralité du travail d'analyse et de modélisation prédictive réalisé dans le cadre du module Intelligence Artificielle (Filière Finance, L3 — Semestre 8). L'objectif central de ce projet est d'identifier les transactions frauduleuses parmi une très large majorité de transactions légitimes, en construisant et en comparant plusieurs modèles de Machine Learning.</w:t>
      </w:r>
    </w:p>
    <w:p w14:paraId="1CFED2D0" w14:textId="77777777" w:rsidR="0049529F" w:rsidRDefault="00000000">
      <w:pPr>
        <w:spacing w:after="120" w:line="360" w:lineRule="auto"/>
        <w:ind w:firstLine="360"/>
        <w:jc w:val="both"/>
      </w:pPr>
      <w:r>
        <w:t>Le jeu de données mobilisé compte 284 807 transactions décrites par 31 variables. La quasi-totalité de ces variables (V1 à V28) résulte d'une transformation par Analyse en Composantes Principales (ACP) appliquée par l'établissement bancaire afin d'anonymiser les données sensibles de ses clients. Les seules variables brutes disponibles sont le Temps (Time) et le Montant (Amount).</w:t>
      </w:r>
    </w:p>
    <w:p w14:paraId="76EA31A7" w14:textId="77777777" w:rsidR="0049529F" w:rsidRDefault="0049529F">
      <w:pPr>
        <w:spacing w:after="80"/>
      </w:pPr>
    </w:p>
    <w:p w14:paraId="117FC76F" w14:textId="77777777" w:rsidR="0049529F" w:rsidRDefault="00000000">
      <w:pPr>
        <w:pStyle w:val="Heading1"/>
      </w:pPr>
      <w:r>
        <w:t>II.   ANALYSE EXPLORATOIRE DES DONNÉES (EDA)</w:t>
      </w:r>
    </w:p>
    <w:p w14:paraId="6E12B939" w14:textId="77777777" w:rsidR="0049529F" w:rsidRDefault="0049529F">
      <w:pPr>
        <w:pBdr>
          <w:bottom w:val="single" w:sz="6" w:space="1" w:color="006633"/>
        </w:pBdr>
        <w:spacing w:before="100" w:after="100"/>
      </w:pPr>
    </w:p>
    <w:p w14:paraId="5F58BFFC" w14:textId="77777777" w:rsidR="0049529F" w:rsidRDefault="0049529F">
      <w:pPr>
        <w:spacing w:after="80"/>
      </w:pPr>
    </w:p>
    <w:p w14:paraId="6AC9FF2F" w14:textId="77777777" w:rsidR="0049529F" w:rsidRDefault="00000000">
      <w:pPr>
        <w:pStyle w:val="Heading2"/>
      </w:pPr>
      <w:r>
        <w:t>II.1  Distribution des Classes</w:t>
      </w:r>
    </w:p>
    <w:p w14:paraId="624FA9B4" w14:textId="77777777" w:rsidR="0049529F" w:rsidRDefault="00000000">
      <w:pPr>
        <w:spacing w:after="120" w:line="360" w:lineRule="auto"/>
        <w:ind w:firstLine="360"/>
        <w:jc w:val="both"/>
      </w:pPr>
      <w:r>
        <w:t>Le défi principal de ce projet réside dans le déséquilibre extrême du jeu de données. Sur la totalité des observations, seules 492 transactions (soit environ 0,17 %) sont identifiées comme frauduleuses.</w:t>
      </w:r>
    </w:p>
    <w:p w14:paraId="252E5381" w14:textId="77777777" w:rsidR="0049529F" w:rsidRDefault="00000000">
      <w:pPr>
        <w:spacing w:after="120" w:line="360" w:lineRule="auto"/>
        <w:ind w:firstLine="360"/>
        <w:jc w:val="both"/>
      </w:pPr>
      <w:r>
        <w:t>Si un modèle avait été entraîné sans correction de ce déséquilibre, il aurait pu atteindre une précision globale (accuracy) supérieure à 99,8 % simplement en classant l'ensemble des transactions comme « normales ». Cette situation, bien connue sous le nom de paradoxe de l'accuracy, n'aurait détecté aucune fraude réelle, ce qui a motivé le recours ultérieur à une méthode de rééchantillonnage (SMOTE).</w:t>
      </w:r>
    </w:p>
    <w:p w14:paraId="7D465207" w14:textId="77777777" w:rsidR="0049529F" w:rsidRDefault="0049529F">
      <w:pPr>
        <w:spacing w:after="80"/>
      </w:pPr>
    </w:p>
    <w:p w14:paraId="0DC5D267" w14:textId="77777777" w:rsidR="0049529F" w:rsidRDefault="00000000">
      <w:pPr>
        <w:pStyle w:val="Heading2"/>
      </w:pPr>
      <w:r>
        <w:t>II.2  Analyse du Temps de Transaction</w:t>
      </w:r>
    </w:p>
    <w:p w14:paraId="792576A2" w14:textId="77777777" w:rsidR="0049529F" w:rsidRDefault="00000000">
      <w:pPr>
        <w:spacing w:after="120" w:line="360" w:lineRule="auto"/>
        <w:ind w:firstLine="360"/>
        <w:jc w:val="both"/>
      </w:pPr>
      <w:r>
        <w:t xml:space="preserve">La superposition des distributions temporelles des transactions normales et frauduleuses révèle l'existence de creux dans l'activité normale, correspondant </w:t>
      </w:r>
      <w:r>
        <w:lastRenderedPageBreak/>
        <w:t>vraisemblablement aux heures nocturnes. La fraude, quant à elle, se manifeste de manière relativement répartie sur la fenêtre de 48 heures observée. Cette analyse conduit à conclure que la variable temporelle seule ne constitue pas un discriminant suffisant pour la détection de la fraude.</w:t>
      </w:r>
    </w:p>
    <w:p w14:paraId="2D450E0D" w14:textId="77777777" w:rsidR="0049529F" w:rsidRDefault="0049529F">
      <w:pPr>
        <w:spacing w:after="80"/>
      </w:pPr>
    </w:p>
    <w:p w14:paraId="4D38E376" w14:textId="77777777" w:rsidR="0049529F" w:rsidRDefault="00000000">
      <w:pPr>
        <w:pStyle w:val="Heading2"/>
      </w:pPr>
      <w:r>
        <w:t>II.3  Analyse des Montants</w:t>
      </w:r>
    </w:p>
    <w:p w14:paraId="1A7AFE6F" w14:textId="77777777" w:rsidR="0049529F" w:rsidRDefault="00000000">
      <w:pPr>
        <w:spacing w:after="120" w:line="360" w:lineRule="auto"/>
        <w:ind w:firstLine="360"/>
        <w:jc w:val="both"/>
      </w:pPr>
      <w:r>
        <w:t>L'analyse des montants (visualisée en échelle logarithmique) met en évidence que les transactions normales présentent des valeurs extrêmes correspondant à de très gros achats. À l'inverse, les transactions frauduleuses portent majoritairement sur des montants plus modestes, ce qui s'explique par la stratégie des fraudeurs qui cherchent à rester en-deçà des seuils d'alerte. La présence de ces valeurs aberrantes a orienté le choix de la méthode de mise à l'échelle vers un estimateur robuste.</w:t>
      </w:r>
    </w:p>
    <w:p w14:paraId="7B7FB69F" w14:textId="77777777" w:rsidR="0049529F" w:rsidRDefault="0049529F">
      <w:pPr>
        <w:spacing w:after="80"/>
      </w:pPr>
    </w:p>
    <w:p w14:paraId="6D8DEAD8" w14:textId="77777777" w:rsidR="0049529F" w:rsidRDefault="00000000">
      <w:pPr>
        <w:pStyle w:val="Heading2"/>
      </w:pPr>
      <w:r>
        <w:t>II.4  Corrélations entre les Variables</w:t>
      </w:r>
    </w:p>
    <w:p w14:paraId="78774EAF" w14:textId="77777777" w:rsidR="0049529F" w:rsidRDefault="00000000">
      <w:pPr>
        <w:spacing w:after="120" w:line="360" w:lineRule="auto"/>
        <w:ind w:firstLine="360"/>
        <w:jc w:val="both"/>
      </w:pPr>
      <w:r>
        <w:t>Grâce à la transformation ACP préalable appliquée au jeu de données, la matrice de corrélation fait apparaître l'absence de colinéarité entre les variables V1 à V28. Chaque composante apporte une information mathématiquement indépendante, ce qui constitue une propriété favorable à l'entraînement des modèles de classification.</w:t>
      </w:r>
    </w:p>
    <w:p w14:paraId="14129746" w14:textId="77777777" w:rsidR="0049529F" w:rsidRDefault="0049529F">
      <w:pPr>
        <w:spacing w:after="80"/>
      </w:pPr>
    </w:p>
    <w:p w14:paraId="28420A1C" w14:textId="77777777" w:rsidR="0049529F" w:rsidRDefault="00000000">
      <w:pPr>
        <w:pStyle w:val="Heading1"/>
      </w:pPr>
      <w:r>
        <w:t>III.  PRÉPARATION DES DONNÉES</w:t>
      </w:r>
    </w:p>
    <w:p w14:paraId="088A9810" w14:textId="77777777" w:rsidR="0049529F" w:rsidRDefault="0049529F">
      <w:pPr>
        <w:pBdr>
          <w:bottom w:val="single" w:sz="6" w:space="1" w:color="006633"/>
        </w:pBdr>
        <w:spacing w:before="100" w:after="100"/>
      </w:pPr>
    </w:p>
    <w:p w14:paraId="47F840A7" w14:textId="77777777" w:rsidR="0049529F" w:rsidRDefault="0049529F">
      <w:pPr>
        <w:spacing w:after="80"/>
      </w:pPr>
    </w:p>
    <w:p w14:paraId="19D53245" w14:textId="77777777" w:rsidR="0049529F" w:rsidRDefault="00000000">
      <w:pPr>
        <w:spacing w:after="120" w:line="360" w:lineRule="auto"/>
        <w:ind w:firstLine="360"/>
        <w:jc w:val="both"/>
      </w:pPr>
      <w:r>
        <w:t>Afin de placer les modèles de Machine Learning dans les meilleures conditions d'apprentissage, trois étapes méthodologiques ont été appliquées de façon séquentielle :</w:t>
      </w:r>
    </w:p>
    <w:p w14:paraId="22F62E40" w14:textId="77777777" w:rsidR="0049529F" w:rsidRDefault="00000000">
      <w:pPr>
        <w:pStyle w:val="ListParagraph"/>
        <w:numPr>
          <w:ilvl w:val="0"/>
          <w:numId w:val="2"/>
        </w:numPr>
        <w:spacing w:after="120"/>
        <w:jc w:val="both"/>
      </w:pPr>
      <w:r>
        <w:rPr>
          <w:b/>
          <w:bCs/>
        </w:rPr>
        <w:t xml:space="preserve">Mise à l'échelle (RobustScaler) : </w:t>
      </w:r>
      <w:r>
        <w:t>Les variables Time et Amount présentent des amplitudes significativement différentes de celles des composantes ACP. Le choix s'est porté sur le RobustScaler plutôt que sur le StandardScaler classique, car ce dernier est insensible aux valeurs extrêmes lors du recentrage des données, ce qui évite de biaiser les observations normales.</w:t>
      </w:r>
    </w:p>
    <w:p w14:paraId="59591508" w14:textId="77777777" w:rsidR="0049529F" w:rsidRDefault="00000000">
      <w:pPr>
        <w:pStyle w:val="ListParagraph"/>
        <w:numPr>
          <w:ilvl w:val="0"/>
          <w:numId w:val="2"/>
        </w:numPr>
        <w:spacing w:after="120"/>
        <w:jc w:val="both"/>
      </w:pPr>
      <w:r>
        <w:rPr>
          <w:b/>
          <w:bCs/>
        </w:rPr>
        <w:t xml:space="preserve">Division stratifiée (Train/Test Split) : </w:t>
      </w:r>
      <w:r>
        <w:t>Les données ont été partitionnées en un ensemble d'entraînement (80 %) et un ensemble de test (20 %). Le paramètre stratify garantit que la proportion de 0,17 % de fraudes est rigoureusement maintenue dans les deux sous-ensembles.</w:t>
      </w:r>
    </w:p>
    <w:p w14:paraId="4988AE32" w14:textId="77777777" w:rsidR="0049529F" w:rsidRDefault="00000000">
      <w:pPr>
        <w:pStyle w:val="ListParagraph"/>
        <w:numPr>
          <w:ilvl w:val="0"/>
          <w:numId w:val="2"/>
        </w:numPr>
        <w:spacing w:after="160"/>
        <w:jc w:val="both"/>
      </w:pPr>
      <w:r>
        <w:rPr>
          <w:b/>
          <w:bCs/>
        </w:rPr>
        <w:lastRenderedPageBreak/>
        <w:t xml:space="preserve">Rééquilibrage (SMOTE) : </w:t>
      </w:r>
      <w:r>
        <w:t>Appliqué exclusivement à l'ensemble d'entraînement, le Synthetic Minority Over-sampling Technique a permis de générer des observations frauduleuses synthétiques jusqu'à l'obtention d'un ratio 50/50. L'ensemble de test a été maintenu dans son déséquilibre naturel afin de simuler fidèlement les conditions réelles.</w:t>
      </w:r>
    </w:p>
    <w:p w14:paraId="1B8F8949" w14:textId="77777777" w:rsidR="0049529F" w:rsidRDefault="0049529F">
      <w:pPr>
        <w:spacing w:after="80"/>
      </w:pPr>
    </w:p>
    <w:p w14:paraId="6C92762E" w14:textId="77777777" w:rsidR="0049529F" w:rsidRDefault="00000000">
      <w:pPr>
        <w:pStyle w:val="Heading1"/>
      </w:pPr>
      <w:r>
        <w:t>IV.   ENTRAÎNEMENT ET ÉVALUATION DES MODÈLES</w:t>
      </w:r>
    </w:p>
    <w:p w14:paraId="49CCB98C" w14:textId="77777777" w:rsidR="0049529F" w:rsidRDefault="0049529F">
      <w:pPr>
        <w:pBdr>
          <w:bottom w:val="single" w:sz="6" w:space="1" w:color="006633"/>
        </w:pBdr>
        <w:spacing w:before="100" w:after="100"/>
      </w:pPr>
    </w:p>
    <w:p w14:paraId="4DF70CFF" w14:textId="77777777" w:rsidR="0049529F" w:rsidRDefault="0049529F">
      <w:pPr>
        <w:spacing w:after="80"/>
      </w:pPr>
    </w:p>
    <w:p w14:paraId="19BA6403" w14:textId="77777777" w:rsidR="0049529F" w:rsidRDefault="00000000">
      <w:pPr>
        <w:spacing w:after="120" w:line="360" w:lineRule="auto"/>
        <w:ind w:firstLine="360"/>
        <w:jc w:val="both"/>
      </w:pPr>
      <w:r>
        <w:t>Trois modèles ont été mis en compétition : la Régression Logistique, le Random Forest et l'XGBoost. Chacun a été évalué selon cinq métriques complémentaires, dont l'adéquation avec les contraintes métier a guidé l'interprétation.</w:t>
      </w:r>
    </w:p>
    <w:p w14:paraId="1E9B849C" w14:textId="77777777" w:rsidR="0049529F" w:rsidRDefault="0049529F">
      <w:pPr>
        <w:spacing w:after="80"/>
      </w:pPr>
    </w:p>
    <w:p w14:paraId="4F3B0D04" w14:textId="77777777" w:rsidR="0049529F" w:rsidRDefault="00000000">
      <w:pPr>
        <w:pStyle w:val="Heading2"/>
      </w:pPr>
      <w:r>
        <w:t>IV.1  Tableau des Métriques Comparatives</w:t>
      </w:r>
    </w:p>
    <w:p w14:paraId="276F4312" w14:textId="77777777" w:rsidR="0049529F" w:rsidRDefault="0049529F">
      <w:pPr>
        <w:spacing w:after="80"/>
      </w:pPr>
    </w:p>
    <w:p w14:paraId="726CE39A" w14:textId="77777777" w:rsidR="0049529F" w:rsidRDefault="00000000">
      <w:pPr>
        <w:spacing w:after="100"/>
        <w:jc w:val="center"/>
      </w:pPr>
      <w:r>
        <w:rPr>
          <w:i/>
          <w:iCs/>
          <w:color w:val="888888"/>
          <w:sz w:val="20"/>
          <w:szCs w:val="20"/>
        </w:rPr>
        <w:t>Tableau 1 : Comparaison des performances des trois modèles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49529F" w14:paraId="3A1F0D0A"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006633"/>
            <w:tcMar>
              <w:top w:w="80" w:type="dxa"/>
              <w:left w:w="80" w:type="dxa"/>
              <w:bottom w:w="80" w:type="dxa"/>
              <w:right w:w="80" w:type="dxa"/>
            </w:tcMar>
            <w:vAlign w:val="center"/>
          </w:tcPr>
          <w:p w14:paraId="56647185" w14:textId="77777777" w:rsidR="0049529F" w:rsidRDefault="00000000">
            <w:pPr>
              <w:jc w:val="center"/>
            </w:pPr>
            <w:r>
              <w:rPr>
                <w:b/>
                <w:bCs/>
                <w:color w:val="FFFFFF"/>
                <w:sz w:val="20"/>
                <w:szCs w:val="20"/>
              </w:rPr>
              <w:t>Modèle</w:t>
            </w:r>
          </w:p>
        </w:tc>
        <w:tc>
          <w:tcPr>
            <w:tcW w:w="1560" w:type="dxa"/>
            <w:tcBorders>
              <w:top w:val="single" w:sz="1" w:space="0" w:color="CCCCCC"/>
              <w:left w:val="single" w:sz="1" w:space="0" w:color="CCCCCC"/>
              <w:bottom w:val="single" w:sz="1" w:space="0" w:color="CCCCCC"/>
              <w:right w:val="single" w:sz="1" w:space="0" w:color="CCCCCC"/>
            </w:tcBorders>
            <w:shd w:val="clear" w:color="auto" w:fill="006633"/>
            <w:tcMar>
              <w:top w:w="80" w:type="dxa"/>
              <w:left w:w="80" w:type="dxa"/>
              <w:bottom w:w="80" w:type="dxa"/>
              <w:right w:w="80" w:type="dxa"/>
            </w:tcMar>
            <w:vAlign w:val="center"/>
          </w:tcPr>
          <w:p w14:paraId="6663EEC7" w14:textId="77777777" w:rsidR="0049529F" w:rsidRDefault="00000000">
            <w:pPr>
              <w:jc w:val="center"/>
            </w:pPr>
            <w:r>
              <w:rPr>
                <w:b/>
                <w:bCs/>
                <w:color w:val="FFFFFF"/>
                <w:sz w:val="20"/>
                <w:szCs w:val="20"/>
              </w:rPr>
              <w:t>Accuracy</w:t>
            </w:r>
          </w:p>
        </w:tc>
        <w:tc>
          <w:tcPr>
            <w:tcW w:w="1560" w:type="dxa"/>
            <w:tcBorders>
              <w:top w:val="single" w:sz="1" w:space="0" w:color="CCCCCC"/>
              <w:left w:val="single" w:sz="1" w:space="0" w:color="CCCCCC"/>
              <w:bottom w:val="single" w:sz="1" w:space="0" w:color="CCCCCC"/>
              <w:right w:val="single" w:sz="1" w:space="0" w:color="CCCCCC"/>
            </w:tcBorders>
            <w:shd w:val="clear" w:color="auto" w:fill="006633"/>
            <w:tcMar>
              <w:top w:w="80" w:type="dxa"/>
              <w:left w:w="80" w:type="dxa"/>
              <w:bottom w:w="80" w:type="dxa"/>
              <w:right w:w="80" w:type="dxa"/>
            </w:tcMar>
            <w:vAlign w:val="center"/>
          </w:tcPr>
          <w:p w14:paraId="22CC44FA" w14:textId="77777777" w:rsidR="0049529F" w:rsidRDefault="00000000">
            <w:pPr>
              <w:jc w:val="center"/>
            </w:pPr>
            <w:r>
              <w:rPr>
                <w:b/>
                <w:bCs/>
                <w:color w:val="FFFFFF"/>
                <w:sz w:val="20"/>
                <w:szCs w:val="20"/>
              </w:rPr>
              <w:t>Précision</w:t>
            </w:r>
          </w:p>
        </w:tc>
        <w:tc>
          <w:tcPr>
            <w:tcW w:w="1560" w:type="dxa"/>
            <w:tcBorders>
              <w:top w:val="single" w:sz="1" w:space="0" w:color="CCCCCC"/>
              <w:left w:val="single" w:sz="1" w:space="0" w:color="CCCCCC"/>
              <w:bottom w:val="single" w:sz="1" w:space="0" w:color="CCCCCC"/>
              <w:right w:val="single" w:sz="1" w:space="0" w:color="CCCCCC"/>
            </w:tcBorders>
            <w:shd w:val="clear" w:color="auto" w:fill="006633"/>
            <w:tcMar>
              <w:top w:w="80" w:type="dxa"/>
              <w:left w:w="80" w:type="dxa"/>
              <w:bottom w:w="80" w:type="dxa"/>
              <w:right w:w="80" w:type="dxa"/>
            </w:tcMar>
            <w:vAlign w:val="center"/>
          </w:tcPr>
          <w:p w14:paraId="117EE7E4" w14:textId="77777777" w:rsidR="0049529F" w:rsidRDefault="00000000">
            <w:pPr>
              <w:jc w:val="center"/>
            </w:pPr>
            <w:r>
              <w:rPr>
                <w:b/>
                <w:bCs/>
                <w:color w:val="FFFFFF"/>
                <w:sz w:val="20"/>
                <w:szCs w:val="20"/>
              </w:rPr>
              <w:t>Rappel (Recall)</w:t>
            </w:r>
          </w:p>
        </w:tc>
        <w:tc>
          <w:tcPr>
            <w:tcW w:w="1560" w:type="dxa"/>
            <w:tcBorders>
              <w:top w:val="single" w:sz="1" w:space="0" w:color="CCCCCC"/>
              <w:left w:val="single" w:sz="1" w:space="0" w:color="CCCCCC"/>
              <w:bottom w:val="single" w:sz="1" w:space="0" w:color="CCCCCC"/>
              <w:right w:val="single" w:sz="1" w:space="0" w:color="CCCCCC"/>
            </w:tcBorders>
            <w:shd w:val="clear" w:color="auto" w:fill="006633"/>
            <w:tcMar>
              <w:top w:w="80" w:type="dxa"/>
              <w:left w:w="80" w:type="dxa"/>
              <w:bottom w:w="80" w:type="dxa"/>
              <w:right w:w="80" w:type="dxa"/>
            </w:tcMar>
            <w:vAlign w:val="center"/>
          </w:tcPr>
          <w:p w14:paraId="4C92CABA" w14:textId="77777777" w:rsidR="0049529F" w:rsidRDefault="00000000">
            <w:pPr>
              <w:jc w:val="center"/>
            </w:pPr>
            <w:r>
              <w:rPr>
                <w:b/>
                <w:bCs/>
                <w:color w:val="FFFFFF"/>
                <w:sz w:val="20"/>
                <w:szCs w:val="20"/>
              </w:rPr>
              <w:t>F1-Score</w:t>
            </w:r>
          </w:p>
        </w:tc>
        <w:tc>
          <w:tcPr>
            <w:tcW w:w="1560" w:type="dxa"/>
            <w:tcBorders>
              <w:top w:val="single" w:sz="1" w:space="0" w:color="CCCCCC"/>
              <w:left w:val="single" w:sz="1" w:space="0" w:color="CCCCCC"/>
              <w:bottom w:val="single" w:sz="1" w:space="0" w:color="CCCCCC"/>
              <w:right w:val="single" w:sz="1" w:space="0" w:color="CCCCCC"/>
            </w:tcBorders>
            <w:shd w:val="clear" w:color="auto" w:fill="006633"/>
            <w:tcMar>
              <w:top w:w="80" w:type="dxa"/>
              <w:left w:w="80" w:type="dxa"/>
              <w:bottom w:w="80" w:type="dxa"/>
              <w:right w:w="80" w:type="dxa"/>
            </w:tcMar>
            <w:vAlign w:val="center"/>
          </w:tcPr>
          <w:p w14:paraId="3678248D" w14:textId="77777777" w:rsidR="0049529F" w:rsidRDefault="00000000">
            <w:pPr>
              <w:jc w:val="center"/>
            </w:pPr>
            <w:r>
              <w:rPr>
                <w:b/>
                <w:bCs/>
                <w:color w:val="FFFFFF"/>
                <w:sz w:val="20"/>
                <w:szCs w:val="20"/>
              </w:rPr>
              <w:t>AUC-ROC</w:t>
            </w:r>
          </w:p>
        </w:tc>
      </w:tr>
      <w:tr w:rsidR="0049529F" w14:paraId="617B1CC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4440DFA" w14:textId="77777777" w:rsidR="0049529F" w:rsidRDefault="00000000">
            <w:pPr>
              <w:jc w:val="center"/>
            </w:pPr>
            <w:r>
              <w:rPr>
                <w:b/>
                <w:bCs/>
                <w:sz w:val="18"/>
                <w:szCs w:val="18"/>
              </w:rPr>
              <w:t>Régression Logistique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1D90563" w14:textId="77777777" w:rsidR="0049529F" w:rsidRDefault="00000000">
            <w:pPr>
              <w:jc w:val="center"/>
            </w:pPr>
            <w:r>
              <w:rPr>
                <w:sz w:val="18"/>
                <w:szCs w:val="18"/>
              </w:rPr>
              <w:t>97,47 %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DB09171" w14:textId="77777777" w:rsidR="0049529F" w:rsidRDefault="00000000">
            <w:pPr>
              <w:jc w:val="center"/>
            </w:pPr>
            <w:r>
              <w:rPr>
                <w:sz w:val="18"/>
                <w:szCs w:val="18"/>
              </w:rPr>
              <w:t>5,91 %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9C853CC" w14:textId="77777777" w:rsidR="0049529F" w:rsidRDefault="00000000">
            <w:pPr>
              <w:jc w:val="center"/>
            </w:pPr>
            <w:r>
              <w:rPr>
                <w:sz w:val="18"/>
                <w:szCs w:val="18"/>
              </w:rPr>
              <w:t>91,84 %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5439858" w14:textId="77777777" w:rsidR="0049529F" w:rsidRDefault="00000000">
            <w:pPr>
              <w:jc w:val="center"/>
            </w:pPr>
            <w:r>
              <w:rPr>
                <w:sz w:val="18"/>
                <w:szCs w:val="18"/>
              </w:rPr>
              <w:t>11,10 %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D383CA4" w14:textId="77777777" w:rsidR="0049529F" w:rsidRDefault="00000000">
            <w:pPr>
              <w:jc w:val="center"/>
            </w:pPr>
            <w:r>
              <w:rPr>
                <w:sz w:val="18"/>
                <w:szCs w:val="18"/>
              </w:rPr>
              <w:t>0,9712</w:t>
            </w:r>
          </w:p>
        </w:tc>
      </w:tr>
      <w:tr w:rsidR="0049529F" w14:paraId="2526497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B0C80F2" w14:textId="77777777" w:rsidR="0049529F" w:rsidRDefault="00000000">
            <w:pPr>
              <w:jc w:val="center"/>
            </w:pPr>
            <w:r>
              <w:rPr>
                <w:b/>
                <w:bCs/>
                <w:sz w:val="18"/>
                <w:szCs w:val="18"/>
              </w:rPr>
              <w:t>Random Forest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9BB9EA7" w14:textId="77777777" w:rsidR="0049529F" w:rsidRDefault="00000000">
            <w:pPr>
              <w:jc w:val="center"/>
            </w:pPr>
            <w:r>
              <w:rPr>
                <w:sz w:val="18"/>
                <w:szCs w:val="18"/>
              </w:rPr>
              <w:t>99,76 %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DC2453B" w14:textId="77777777" w:rsidR="0049529F" w:rsidRDefault="00000000">
            <w:pPr>
              <w:jc w:val="center"/>
            </w:pPr>
            <w:r>
              <w:rPr>
                <w:sz w:val="18"/>
                <w:szCs w:val="18"/>
              </w:rPr>
              <w:t>40,28 %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0E6DD19" w14:textId="77777777" w:rsidR="0049529F" w:rsidRDefault="00000000">
            <w:pPr>
              <w:jc w:val="center"/>
            </w:pPr>
            <w:r>
              <w:rPr>
                <w:sz w:val="18"/>
                <w:szCs w:val="18"/>
              </w:rPr>
              <w:t>86,73 %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3BCDAE1" w14:textId="77777777" w:rsidR="0049529F" w:rsidRDefault="00000000">
            <w:pPr>
              <w:jc w:val="center"/>
            </w:pPr>
            <w:r>
              <w:rPr>
                <w:sz w:val="18"/>
                <w:szCs w:val="18"/>
              </w:rPr>
              <w:t>55,02 %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F25B890" w14:textId="77777777" w:rsidR="0049529F" w:rsidRDefault="00000000">
            <w:pPr>
              <w:jc w:val="center"/>
            </w:pPr>
            <w:r>
              <w:rPr>
                <w:sz w:val="18"/>
                <w:szCs w:val="18"/>
              </w:rPr>
              <w:t>0,9834</w:t>
            </w:r>
          </w:p>
        </w:tc>
      </w:tr>
      <w:tr w:rsidR="0049529F" w14:paraId="6EF16FF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vAlign w:val="center"/>
          </w:tcPr>
          <w:p w14:paraId="48DC9226" w14:textId="77777777" w:rsidR="0049529F" w:rsidRDefault="00000000">
            <w:pPr>
              <w:jc w:val="center"/>
            </w:pPr>
            <w:r>
              <w:rPr>
                <w:b/>
                <w:bCs/>
                <w:color w:val="004422"/>
                <w:sz w:val="18"/>
                <w:szCs w:val="18"/>
              </w:rPr>
              <w:t>XGBoost</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vAlign w:val="center"/>
          </w:tcPr>
          <w:p w14:paraId="50DF9FAF" w14:textId="77777777" w:rsidR="0049529F" w:rsidRDefault="00000000">
            <w:pPr>
              <w:jc w:val="center"/>
            </w:pPr>
            <w:r>
              <w:rPr>
                <w:b/>
                <w:bCs/>
                <w:color w:val="004422"/>
                <w:sz w:val="18"/>
                <w:szCs w:val="18"/>
              </w:rPr>
              <w:t>99,92 %</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vAlign w:val="center"/>
          </w:tcPr>
          <w:p w14:paraId="2DFDDB49" w14:textId="77777777" w:rsidR="0049529F" w:rsidRDefault="00000000">
            <w:pPr>
              <w:jc w:val="center"/>
            </w:pPr>
            <w:r>
              <w:rPr>
                <w:b/>
                <w:bCs/>
                <w:color w:val="004422"/>
                <w:sz w:val="18"/>
                <w:szCs w:val="18"/>
              </w:rPr>
              <w:t>71,79 %</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vAlign w:val="center"/>
          </w:tcPr>
          <w:p w14:paraId="7ED249C5" w14:textId="77777777" w:rsidR="0049529F" w:rsidRDefault="00000000">
            <w:pPr>
              <w:jc w:val="center"/>
            </w:pPr>
            <w:r>
              <w:rPr>
                <w:b/>
                <w:bCs/>
                <w:color w:val="004422"/>
                <w:sz w:val="18"/>
                <w:szCs w:val="18"/>
              </w:rPr>
              <w:t>85,71 %</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vAlign w:val="center"/>
          </w:tcPr>
          <w:p w14:paraId="64650AFE" w14:textId="77777777" w:rsidR="0049529F" w:rsidRDefault="00000000">
            <w:pPr>
              <w:jc w:val="center"/>
            </w:pPr>
            <w:r>
              <w:rPr>
                <w:b/>
                <w:bCs/>
                <w:color w:val="004422"/>
                <w:sz w:val="18"/>
                <w:szCs w:val="18"/>
              </w:rPr>
              <w:t>78,14 %</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60" w:type="dxa"/>
              <w:left w:w="80" w:type="dxa"/>
              <w:bottom w:w="60" w:type="dxa"/>
              <w:right w:w="80" w:type="dxa"/>
            </w:tcMar>
            <w:vAlign w:val="center"/>
          </w:tcPr>
          <w:p w14:paraId="13639901" w14:textId="77777777" w:rsidR="0049529F" w:rsidRDefault="00000000">
            <w:pPr>
              <w:jc w:val="center"/>
            </w:pPr>
            <w:r>
              <w:rPr>
                <w:b/>
                <w:bCs/>
                <w:color w:val="004422"/>
                <w:sz w:val="18"/>
                <w:szCs w:val="18"/>
              </w:rPr>
              <w:t>0,9779</w:t>
            </w:r>
          </w:p>
        </w:tc>
      </w:tr>
    </w:tbl>
    <w:p w14:paraId="3F611DD6" w14:textId="77777777" w:rsidR="0049529F" w:rsidRDefault="0049529F">
      <w:pPr>
        <w:spacing w:after="80"/>
      </w:pPr>
    </w:p>
    <w:p w14:paraId="0BC2831F" w14:textId="77777777" w:rsidR="0049529F" w:rsidRDefault="00000000">
      <w:pPr>
        <w:spacing w:after="120"/>
        <w:ind w:firstLine="360"/>
        <w:jc w:val="both"/>
      </w:pPr>
      <w:r>
        <w:rPr>
          <w:b/>
          <w:bCs/>
          <w:color w:val="004422"/>
          <w:sz w:val="20"/>
          <w:szCs w:val="20"/>
        </w:rPr>
        <w:t xml:space="preserve">Note : </w:t>
      </w:r>
      <w:r>
        <w:rPr>
          <w:i/>
          <w:iCs/>
          <w:sz w:val="20"/>
          <w:szCs w:val="20"/>
        </w:rPr>
        <w:t>Le Rappel (Recall) mesure la capacité du modèle à ne pas manquer de fraudes (minimisation des faux négatifs) ; la Précision évalue la proportion de fausses alertes émises (minimisation des faux positifs). Ces deux métriques sont antagonistes et traduisent le compromis fondamental entre sécurité et expérience client.</w:t>
      </w:r>
    </w:p>
    <w:p w14:paraId="402CF0B6" w14:textId="77777777" w:rsidR="0049529F" w:rsidRDefault="0049529F">
      <w:pPr>
        <w:spacing w:after="80"/>
      </w:pPr>
    </w:p>
    <w:p w14:paraId="171B55A7" w14:textId="77777777" w:rsidR="0049529F" w:rsidRDefault="00000000">
      <w:pPr>
        <w:pStyle w:val="Heading2"/>
      </w:pPr>
      <w:r>
        <w:t>IV.2  Matrices de Confusion</w:t>
      </w:r>
    </w:p>
    <w:p w14:paraId="0EB1B1DA" w14:textId="77777777" w:rsidR="0049529F" w:rsidRDefault="00000000">
      <w:pPr>
        <w:spacing w:after="120" w:line="360" w:lineRule="auto"/>
        <w:ind w:firstLine="360"/>
        <w:jc w:val="both"/>
      </w:pPr>
      <w:r>
        <w:t>L'analyse comparative des matrices de confusion révèle les profils de performance distincts des trois modèles :</w:t>
      </w:r>
    </w:p>
    <w:p w14:paraId="5200A4ED" w14:textId="77777777" w:rsidR="0049529F" w:rsidRDefault="00000000">
      <w:pPr>
        <w:pStyle w:val="ListParagraph"/>
        <w:numPr>
          <w:ilvl w:val="0"/>
          <w:numId w:val="3"/>
        </w:numPr>
        <w:jc w:val="both"/>
      </w:pPr>
      <w:r>
        <w:rPr>
          <w:b/>
          <w:bCs/>
        </w:rPr>
        <w:t xml:space="preserve">Régression Logistique : </w:t>
      </w:r>
      <w:r>
        <w:t>affiche un excellent rappel (90 fraudes détectées sur 98) mais génère 1 433 faux positifs, rendant son déploiement opérationnel problématique.</w:t>
      </w:r>
    </w:p>
    <w:p w14:paraId="7DC402CB" w14:textId="77777777" w:rsidR="0049529F" w:rsidRDefault="00000000">
      <w:pPr>
        <w:pStyle w:val="ListParagraph"/>
        <w:numPr>
          <w:ilvl w:val="0"/>
          <w:numId w:val="3"/>
        </w:numPr>
        <w:jc w:val="both"/>
      </w:pPr>
      <w:r>
        <w:rPr>
          <w:b/>
          <w:bCs/>
        </w:rPr>
        <w:t xml:space="preserve">Random Forest : </w:t>
      </w:r>
      <w:r>
        <w:t>réduit les faux positifs à 126, mais ce volume reste notable pour un service client à grande échelle.</w:t>
      </w:r>
    </w:p>
    <w:p w14:paraId="63AC18C2" w14:textId="77777777" w:rsidR="0049529F" w:rsidRDefault="00000000">
      <w:pPr>
        <w:pStyle w:val="ListParagraph"/>
        <w:numPr>
          <w:ilvl w:val="0"/>
          <w:numId w:val="3"/>
        </w:numPr>
        <w:spacing w:after="160"/>
        <w:jc w:val="both"/>
      </w:pPr>
      <w:r>
        <w:rPr>
          <w:b/>
          <w:bCs/>
          <w:color w:val="006633"/>
        </w:rPr>
        <w:t xml:space="preserve">XGBoost (modèle retenu) : </w:t>
      </w:r>
      <w:r>
        <w:t xml:space="preserve">maintient un taux de détection élevé (84 fraudes sur 98) tout en ne bloquant que 33 clients innocents sur l'ensemble de test de 56 000 </w:t>
      </w:r>
      <w:r>
        <w:lastRenderedPageBreak/>
        <w:t>transactions. Sa précision dépasse 71 %, ce qui en fait le meilleur compromis entre sécurité et expérience utilisateur.</w:t>
      </w:r>
    </w:p>
    <w:p w14:paraId="5C3EC3C9" w14:textId="77777777" w:rsidR="0049529F" w:rsidRDefault="0049529F">
      <w:pPr>
        <w:spacing w:after="80"/>
      </w:pPr>
    </w:p>
    <w:p w14:paraId="6EE9D2C7" w14:textId="77777777" w:rsidR="0049529F" w:rsidRDefault="00000000">
      <w:pPr>
        <w:pStyle w:val="Heading2"/>
      </w:pPr>
      <w:r>
        <w:t>IV.3  Courbes ROC</w:t>
      </w:r>
    </w:p>
    <w:p w14:paraId="1B48178D" w14:textId="77777777" w:rsidR="0049529F" w:rsidRDefault="00000000">
      <w:pPr>
        <w:spacing w:after="120" w:line="360" w:lineRule="auto"/>
        <w:ind w:firstLine="360"/>
        <w:jc w:val="both"/>
      </w:pPr>
      <w:r>
        <w:t>Les courbes ROC (Receiver Operating Characteristic) des trois modèles s'approchent toutes du coin supérieur gauche, témoignant d'une Aire Sous la Courbe (AUC) proche de 0,98 pour l'ensemble des algorithmes. Ce résultat démontre que les modèles ont correctement appris à discriminer les transactions normales des transactions frauduleuses. Toutefois, sur des jeux de données déséquilibrés, le F1-Score demeure la métrique arbitre par excellence, en réconciliant rappel et précision au sein d'un indicateur unique.</w:t>
      </w:r>
    </w:p>
    <w:p w14:paraId="37BC4E6B" w14:textId="77777777" w:rsidR="0049529F" w:rsidRDefault="0049529F">
      <w:pPr>
        <w:spacing w:after="80"/>
      </w:pPr>
    </w:p>
    <w:p w14:paraId="4E1942AD" w14:textId="77777777" w:rsidR="0049529F" w:rsidRDefault="00000000">
      <w:pPr>
        <w:pStyle w:val="Heading1"/>
      </w:pPr>
      <w:r>
        <w:t>V.    EXPLICABILITÉ ET CONCLUSION</w:t>
      </w:r>
    </w:p>
    <w:p w14:paraId="3A1FBE97" w14:textId="77777777" w:rsidR="0049529F" w:rsidRDefault="0049529F">
      <w:pPr>
        <w:pBdr>
          <w:bottom w:val="single" w:sz="6" w:space="1" w:color="006633"/>
        </w:pBdr>
        <w:spacing w:before="100" w:after="100"/>
      </w:pPr>
    </w:p>
    <w:p w14:paraId="6EDF753A" w14:textId="77777777" w:rsidR="0049529F" w:rsidRDefault="0049529F">
      <w:pPr>
        <w:spacing w:after="80"/>
      </w:pPr>
    </w:p>
    <w:p w14:paraId="0DA13220" w14:textId="77777777" w:rsidR="0049529F" w:rsidRDefault="00000000">
      <w:pPr>
        <w:pStyle w:val="Heading2"/>
      </w:pPr>
      <w:r>
        <w:t>V.1   Variables les plus Influentes</w:t>
      </w:r>
    </w:p>
    <w:p w14:paraId="7C0CB96F" w14:textId="77777777" w:rsidR="0049529F" w:rsidRDefault="00000000">
      <w:pPr>
        <w:spacing w:after="120" w:line="360" w:lineRule="auto"/>
        <w:ind w:firstLine="360"/>
        <w:jc w:val="both"/>
      </w:pPr>
      <w:r>
        <w:t>L'analyse de l'importance des variables au sein du modèle XGBoost mesure la contribution de chaque variable à la réduction de l'erreur de diagnostic. Il ressort que la composante anonymisée V14 constitue, de très loin, le signal discriminant le plus puissant pour identifier une transaction frauduleuse, suivie par V4 et V10.</w:t>
      </w:r>
    </w:p>
    <w:p w14:paraId="0F32BFED" w14:textId="77777777" w:rsidR="0049529F" w:rsidRDefault="00000000">
      <w:pPr>
        <w:spacing w:after="120" w:line="360" w:lineRule="auto"/>
        <w:ind w:firstLine="360"/>
        <w:jc w:val="both"/>
      </w:pPr>
      <w:r>
        <w:t>De façon contre-intuitive, ni le Montant (scaled_amount) ni le Temps (scaled_time) ne figurent parmi les variables clés. Ce constat invalide l'idée reçue selon laquelle les fraudeurs se distinguent principalement par le volume des transactions. Les signaux comportementaux latents, contenus dans les composantes ACP, s'avèrent bien plus révélateurs.</w:t>
      </w:r>
    </w:p>
    <w:p w14:paraId="28F9B074" w14:textId="77777777" w:rsidR="0049529F" w:rsidRDefault="0049529F">
      <w:pPr>
        <w:spacing w:after="80"/>
      </w:pPr>
    </w:p>
    <w:p w14:paraId="0DF32550" w14:textId="77777777" w:rsidR="0049529F" w:rsidRDefault="00000000">
      <w:pPr>
        <w:pStyle w:val="Heading2"/>
      </w:pPr>
      <w:r>
        <w:t>V.2   Conclusion</w:t>
      </w:r>
    </w:p>
    <w:p w14:paraId="43EB395E" w14:textId="77777777" w:rsidR="0049529F" w:rsidRDefault="00000000">
      <w:pPr>
        <w:spacing w:after="120" w:line="360" w:lineRule="auto"/>
        <w:ind w:firstLine="360"/>
        <w:jc w:val="both"/>
      </w:pPr>
      <w:r>
        <w:t>Ce projet met en évidence qu'un problème de détection de fraude est fondamentalement un problème de compromis entre Sécurité et Expérience Client. La combinaison d'un pré-traitement adapté (RobustScaler), d'une correction du déséquilibre des classes (SMOTE) et d'un modèle ensembliste puissant (XGBoost) offre la réponse métier la plus équilibrée.</w:t>
      </w:r>
    </w:p>
    <w:p w14:paraId="320493AE" w14:textId="77777777" w:rsidR="0049529F" w:rsidRDefault="00000000">
      <w:pPr>
        <w:spacing w:after="120" w:line="360" w:lineRule="auto"/>
        <w:ind w:firstLine="360"/>
        <w:jc w:val="both"/>
      </w:pPr>
      <w:r>
        <w:lastRenderedPageBreak/>
        <w:t>Avec un F1-Score de 78,14 %, le modèle XGBoost permet à l'établissement bancaire de récupérer jusqu'à 86 % des transactions frauduleuses tout en garantissant que 99,9 % de ses clients légitimes ne subiront pas de blocage injustifié. Ce résultat illustre concrètement l'apport de l'intelligence artificielle dans la gestion des risques financiers, domaine au cœur des préoccupations de la filière Finance.</w:t>
      </w:r>
    </w:p>
    <w:p w14:paraId="74A24D74" w14:textId="77777777" w:rsidR="0049529F" w:rsidRDefault="0049529F">
      <w:pPr>
        <w:spacing w:after="80"/>
      </w:pPr>
    </w:p>
    <w:p w14:paraId="118253C7" w14:textId="77777777" w:rsidR="0049529F" w:rsidRDefault="00000000">
      <w:pPr>
        <w:spacing w:after="100"/>
        <w:jc w:val="center"/>
      </w:pPr>
      <w:r>
        <w:rPr>
          <w:i/>
          <w:iCs/>
          <w:color w:val="888888"/>
          <w:sz w:val="20"/>
          <w:szCs w:val="20"/>
        </w:rPr>
        <w:t>Tableau 2 : Bilan comparatif final des modèles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49529F" w14:paraId="1EA4F1A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04422"/>
            <w:tcMar>
              <w:top w:w="80" w:type="dxa"/>
              <w:left w:w="120" w:type="dxa"/>
              <w:bottom w:w="80" w:type="dxa"/>
              <w:right w:w="120" w:type="dxa"/>
            </w:tcMar>
          </w:tcPr>
          <w:p w14:paraId="4FD4BDDA" w14:textId="77777777" w:rsidR="0049529F" w:rsidRDefault="00000000">
            <w:pPr>
              <w:jc w:val="center"/>
            </w:pPr>
            <w:r>
              <w:rPr>
                <w:b/>
                <w:bCs/>
                <w:color w:val="FFFFFF"/>
                <w:sz w:val="20"/>
                <w:szCs w:val="20"/>
              </w:rPr>
              <w:t>Critère</w:t>
            </w:r>
          </w:p>
        </w:tc>
        <w:tc>
          <w:tcPr>
            <w:tcW w:w="3263" w:type="dxa"/>
            <w:tcBorders>
              <w:top w:val="single" w:sz="1" w:space="0" w:color="CCCCCC"/>
              <w:left w:val="single" w:sz="1" w:space="0" w:color="CCCCCC"/>
              <w:bottom w:val="single" w:sz="1" w:space="0" w:color="CCCCCC"/>
              <w:right w:val="single" w:sz="1" w:space="0" w:color="CCCCCC"/>
            </w:tcBorders>
            <w:shd w:val="clear" w:color="auto" w:fill="004422"/>
            <w:tcMar>
              <w:top w:w="80" w:type="dxa"/>
              <w:left w:w="120" w:type="dxa"/>
              <w:bottom w:w="80" w:type="dxa"/>
              <w:right w:w="120" w:type="dxa"/>
            </w:tcMar>
          </w:tcPr>
          <w:p w14:paraId="2F8435C1" w14:textId="77777777" w:rsidR="0049529F" w:rsidRDefault="00000000">
            <w:pPr>
              <w:jc w:val="center"/>
            </w:pPr>
            <w:r>
              <w:rPr>
                <w:b/>
                <w:bCs/>
                <w:color w:val="FFFFFF"/>
                <w:sz w:val="20"/>
                <w:szCs w:val="20"/>
              </w:rPr>
              <w:t>Valeur (XGBoost)</w:t>
            </w:r>
          </w:p>
        </w:tc>
        <w:tc>
          <w:tcPr>
            <w:tcW w:w="3263" w:type="dxa"/>
            <w:tcBorders>
              <w:top w:val="single" w:sz="1" w:space="0" w:color="CCCCCC"/>
              <w:left w:val="single" w:sz="1" w:space="0" w:color="CCCCCC"/>
              <w:bottom w:val="single" w:sz="1" w:space="0" w:color="CCCCCC"/>
              <w:right w:val="single" w:sz="1" w:space="0" w:color="CCCCCC"/>
            </w:tcBorders>
            <w:shd w:val="clear" w:color="auto" w:fill="004422"/>
            <w:tcMar>
              <w:top w:w="80" w:type="dxa"/>
              <w:left w:w="120" w:type="dxa"/>
              <w:bottom w:w="80" w:type="dxa"/>
              <w:right w:w="120" w:type="dxa"/>
            </w:tcMar>
          </w:tcPr>
          <w:p w14:paraId="7E0EF39E" w14:textId="77777777" w:rsidR="0049529F" w:rsidRDefault="00000000">
            <w:pPr>
              <w:jc w:val="center"/>
            </w:pPr>
            <w:r>
              <w:rPr>
                <w:b/>
                <w:bCs/>
                <w:color w:val="FFFFFF"/>
                <w:sz w:val="20"/>
                <w:szCs w:val="20"/>
              </w:rPr>
              <w:t>Interprétation métier</w:t>
            </w:r>
          </w:p>
        </w:tc>
      </w:tr>
      <w:tr w:rsidR="0049529F" w14:paraId="512927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4"/>
            <w:tcMar>
              <w:top w:w="60" w:type="dxa"/>
              <w:left w:w="120" w:type="dxa"/>
              <w:bottom w:w="60" w:type="dxa"/>
              <w:right w:w="120" w:type="dxa"/>
            </w:tcMar>
          </w:tcPr>
          <w:p w14:paraId="38D86EA9" w14:textId="77777777" w:rsidR="0049529F" w:rsidRDefault="00000000">
            <w:r>
              <w:rPr>
                <w:b/>
                <w:bCs/>
                <w:sz w:val="20"/>
                <w:szCs w:val="20"/>
              </w:rPr>
              <w:t>F1-Score</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A2A0D" w14:textId="77777777" w:rsidR="0049529F" w:rsidRDefault="00000000">
            <w:pPr>
              <w:jc w:val="center"/>
            </w:pPr>
            <w:r>
              <w:rPr>
                <w:sz w:val="20"/>
                <w:szCs w:val="20"/>
              </w:rPr>
              <w:t>78,14 %</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CC1AB4" w14:textId="77777777" w:rsidR="0049529F" w:rsidRDefault="00000000">
            <w:pPr>
              <w:jc w:val="center"/>
            </w:pPr>
            <w:r>
              <w:rPr>
                <w:sz w:val="20"/>
                <w:szCs w:val="20"/>
              </w:rPr>
              <w:t>Meilleur équilibre rappel/précision</w:t>
            </w:r>
          </w:p>
        </w:tc>
      </w:tr>
      <w:tr w:rsidR="0049529F" w14:paraId="5B8D87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4"/>
            <w:tcMar>
              <w:top w:w="60" w:type="dxa"/>
              <w:left w:w="120" w:type="dxa"/>
              <w:bottom w:w="60" w:type="dxa"/>
              <w:right w:w="120" w:type="dxa"/>
            </w:tcMar>
          </w:tcPr>
          <w:p w14:paraId="32CB4E3A" w14:textId="77777777" w:rsidR="0049529F" w:rsidRDefault="00000000">
            <w:r>
              <w:rPr>
                <w:b/>
                <w:bCs/>
                <w:sz w:val="20"/>
                <w:szCs w:val="20"/>
              </w:rPr>
              <w:t>Rappel</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84C543" w14:textId="77777777" w:rsidR="0049529F" w:rsidRDefault="00000000">
            <w:pPr>
              <w:jc w:val="center"/>
            </w:pPr>
            <w:r>
              <w:rPr>
                <w:sz w:val="20"/>
                <w:szCs w:val="20"/>
              </w:rPr>
              <w:t>85,71 %</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06C0A" w14:textId="77777777" w:rsidR="0049529F" w:rsidRDefault="00000000">
            <w:pPr>
              <w:jc w:val="center"/>
            </w:pPr>
            <w:r>
              <w:rPr>
                <w:sz w:val="20"/>
                <w:szCs w:val="20"/>
              </w:rPr>
              <w:t>86 % des fraudes interceptées</w:t>
            </w:r>
          </w:p>
        </w:tc>
      </w:tr>
      <w:tr w:rsidR="0049529F" w14:paraId="27AE56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4"/>
            <w:tcMar>
              <w:top w:w="60" w:type="dxa"/>
              <w:left w:w="120" w:type="dxa"/>
              <w:bottom w:w="60" w:type="dxa"/>
              <w:right w:w="120" w:type="dxa"/>
            </w:tcMar>
          </w:tcPr>
          <w:p w14:paraId="5F870D54" w14:textId="77777777" w:rsidR="0049529F" w:rsidRDefault="00000000">
            <w:r>
              <w:rPr>
                <w:b/>
                <w:bCs/>
                <w:sz w:val="20"/>
                <w:szCs w:val="20"/>
              </w:rPr>
              <w:t>Précision</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173CC2" w14:textId="77777777" w:rsidR="0049529F" w:rsidRDefault="00000000">
            <w:pPr>
              <w:jc w:val="center"/>
            </w:pPr>
            <w:r>
              <w:rPr>
                <w:sz w:val="20"/>
                <w:szCs w:val="20"/>
              </w:rPr>
              <w:t>71,79 %</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82D83D" w14:textId="77777777" w:rsidR="0049529F" w:rsidRDefault="00000000">
            <w:pPr>
              <w:jc w:val="center"/>
            </w:pPr>
            <w:r>
              <w:rPr>
                <w:sz w:val="20"/>
                <w:szCs w:val="20"/>
              </w:rPr>
              <w:t>Seulement 33 faux positifs / 56 000 tx</w:t>
            </w:r>
          </w:p>
        </w:tc>
      </w:tr>
      <w:tr w:rsidR="0049529F" w14:paraId="68F56A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4"/>
            <w:tcMar>
              <w:top w:w="60" w:type="dxa"/>
              <w:left w:w="120" w:type="dxa"/>
              <w:bottom w:w="60" w:type="dxa"/>
              <w:right w:w="120" w:type="dxa"/>
            </w:tcMar>
          </w:tcPr>
          <w:p w14:paraId="662646E4" w14:textId="77777777" w:rsidR="0049529F" w:rsidRDefault="00000000">
            <w:r>
              <w:rPr>
                <w:b/>
                <w:bCs/>
                <w:sz w:val="20"/>
                <w:szCs w:val="20"/>
              </w:rPr>
              <w:t>AUC-ROC</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7A938F" w14:textId="77777777" w:rsidR="0049529F" w:rsidRDefault="00000000">
            <w:pPr>
              <w:jc w:val="center"/>
            </w:pPr>
            <w:r>
              <w:rPr>
                <w:sz w:val="20"/>
                <w:szCs w:val="20"/>
              </w:rPr>
              <w:t>0,9779</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7BC305" w14:textId="77777777" w:rsidR="0049529F" w:rsidRDefault="00000000">
            <w:pPr>
              <w:jc w:val="center"/>
            </w:pPr>
            <w:r>
              <w:rPr>
                <w:sz w:val="20"/>
                <w:szCs w:val="20"/>
              </w:rPr>
              <w:t>Discrimination quasi-parfaite</w:t>
            </w:r>
          </w:p>
        </w:tc>
      </w:tr>
    </w:tbl>
    <w:p w14:paraId="29F599F5" w14:textId="77777777" w:rsidR="0049529F" w:rsidRDefault="0049529F">
      <w:pPr>
        <w:spacing w:after="80"/>
      </w:pPr>
    </w:p>
    <w:p w14:paraId="4E200C4B" w14:textId="77777777" w:rsidR="0049529F" w:rsidRDefault="0049529F">
      <w:pPr>
        <w:spacing w:after="80"/>
      </w:pPr>
    </w:p>
    <w:p w14:paraId="3E846D3E" w14:textId="77777777" w:rsidR="0049529F" w:rsidRDefault="00000000">
      <w:pPr>
        <w:pStyle w:val="Heading1"/>
      </w:pPr>
      <w:r>
        <w:t>BIBLIOGRAPHIE / WEBOGRAPHIE</w:t>
      </w:r>
    </w:p>
    <w:p w14:paraId="795FAEC0" w14:textId="77777777" w:rsidR="0049529F" w:rsidRDefault="0049529F">
      <w:pPr>
        <w:pBdr>
          <w:bottom w:val="single" w:sz="6" w:space="1" w:color="006633"/>
        </w:pBdr>
        <w:spacing w:before="100" w:after="100"/>
      </w:pPr>
    </w:p>
    <w:p w14:paraId="66BFE3AC" w14:textId="77777777" w:rsidR="0049529F" w:rsidRDefault="0049529F">
      <w:pPr>
        <w:spacing w:after="80"/>
      </w:pPr>
    </w:p>
    <w:p w14:paraId="6A8E3B49" w14:textId="77777777" w:rsidR="0049529F" w:rsidRPr="009A0394" w:rsidRDefault="00000000">
      <w:pPr>
        <w:spacing w:after="120"/>
        <w:rPr>
          <w:lang w:val="en-US"/>
        </w:rPr>
      </w:pPr>
      <w:r w:rsidRPr="009A0394">
        <w:rPr>
          <w:sz w:val="22"/>
          <w:szCs w:val="22"/>
          <w:lang w:val="en-US"/>
        </w:rPr>
        <w:t>Breiman, L. (2001). Random Forests. Machine Learning, 45(1), 5–32.</w:t>
      </w:r>
    </w:p>
    <w:p w14:paraId="6D855EBF" w14:textId="77777777" w:rsidR="0049529F" w:rsidRPr="009A0394" w:rsidRDefault="00000000">
      <w:pPr>
        <w:spacing w:after="120"/>
        <w:rPr>
          <w:lang w:val="en-US"/>
        </w:rPr>
      </w:pPr>
      <w:r w:rsidRPr="009A0394">
        <w:rPr>
          <w:sz w:val="22"/>
          <w:szCs w:val="22"/>
          <w:lang w:val="en-US"/>
        </w:rPr>
        <w:t>Chen, T. &amp; Guestrin, C. (2016). XGBoost: A Scalable Tree Boosting System. KDD 2016.</w:t>
      </w:r>
    </w:p>
    <w:p w14:paraId="3090AF90" w14:textId="77777777" w:rsidR="0049529F" w:rsidRPr="009A0394" w:rsidRDefault="00000000">
      <w:pPr>
        <w:spacing w:after="120"/>
        <w:rPr>
          <w:lang w:val="en-US"/>
        </w:rPr>
      </w:pPr>
      <w:r w:rsidRPr="009A0394">
        <w:rPr>
          <w:sz w:val="22"/>
          <w:szCs w:val="22"/>
          <w:lang w:val="en-US"/>
        </w:rPr>
        <w:t>Chawla, N. V. et al. (2002). SMOTE: Synthetic Minority Over-sampling Technique. JAIR, 16, 321–357.</w:t>
      </w:r>
    </w:p>
    <w:p w14:paraId="39ABE9A0" w14:textId="77777777" w:rsidR="0049529F" w:rsidRPr="009A0394" w:rsidRDefault="00000000">
      <w:pPr>
        <w:spacing w:after="120"/>
        <w:rPr>
          <w:lang w:val="en-US"/>
        </w:rPr>
      </w:pPr>
      <w:r w:rsidRPr="009A0394">
        <w:rPr>
          <w:sz w:val="22"/>
          <w:szCs w:val="22"/>
          <w:lang w:val="en-US"/>
        </w:rPr>
        <w:t>Pedregosa, F. et al. (2011). Scikit-learn: Machine Learning in Python. JMLR, 12, 2825–2830.</w:t>
      </w:r>
    </w:p>
    <w:p w14:paraId="132E6F74" w14:textId="77777777" w:rsidR="0049529F" w:rsidRPr="009A0394" w:rsidRDefault="00000000">
      <w:pPr>
        <w:spacing w:after="120"/>
        <w:rPr>
          <w:lang w:val="en-US"/>
        </w:rPr>
      </w:pPr>
      <w:r w:rsidRPr="009A0394">
        <w:rPr>
          <w:sz w:val="22"/>
          <w:szCs w:val="22"/>
          <w:lang w:val="en-US"/>
        </w:rPr>
        <w:t>Dataset : Credit Card Fraud Detection — Kaggle. https://www.kaggle.com/datasets/mlg-ulb/creditcardfraud</w:t>
      </w:r>
    </w:p>
    <w:p w14:paraId="77765DD3" w14:textId="77777777" w:rsidR="0049529F" w:rsidRPr="009A0394" w:rsidRDefault="0049529F">
      <w:pPr>
        <w:spacing w:after="80"/>
        <w:rPr>
          <w:lang w:val="en-US"/>
        </w:rPr>
      </w:pPr>
    </w:p>
    <w:sectPr w:rsidR="0049529F" w:rsidRPr="009A0394">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4672A" w14:textId="77777777" w:rsidR="00C15C5A" w:rsidRDefault="00C15C5A">
      <w:r>
        <w:separator/>
      </w:r>
    </w:p>
  </w:endnote>
  <w:endnote w:type="continuationSeparator" w:id="0">
    <w:p w14:paraId="240E4548" w14:textId="77777777" w:rsidR="00C15C5A" w:rsidRDefault="00C15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B7CFA" w14:textId="77777777" w:rsidR="0049529F" w:rsidRDefault="00000000">
    <w:pPr>
      <w:pBdr>
        <w:top w:val="single" w:sz="4" w:space="0" w:color="006633"/>
      </w:pBdr>
      <w:tabs>
        <w:tab w:val="right" w:pos="9026"/>
      </w:tabs>
      <w:spacing w:before="100"/>
    </w:pPr>
    <w:r>
      <w:rPr>
        <w:color w:val="888888"/>
        <w:sz w:val="18"/>
        <w:szCs w:val="18"/>
      </w:rPr>
      <w:t>EL YESRI Inass  |  EL GAOUT Saad  —  Encadrant : M. Larhlimi</w:t>
    </w:r>
    <w:r>
      <w:rPr>
        <w:sz w:val="18"/>
        <w:szCs w:val="18"/>
      </w:rPr>
      <w:tab/>
    </w:r>
    <w:r>
      <w:rPr>
        <w:color w:val="888888"/>
        <w:sz w:val="18"/>
        <w:szCs w:val="18"/>
      </w:rPr>
      <w:t xml:space="preserve">Page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34E90" w14:textId="77777777" w:rsidR="00C15C5A" w:rsidRDefault="00C15C5A">
      <w:r>
        <w:separator/>
      </w:r>
    </w:p>
  </w:footnote>
  <w:footnote w:type="continuationSeparator" w:id="0">
    <w:p w14:paraId="4278B466" w14:textId="77777777" w:rsidR="00C15C5A" w:rsidRDefault="00C15C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02B42" w14:textId="77777777" w:rsidR="0049529F" w:rsidRDefault="00000000">
    <w:pPr>
      <w:pBdr>
        <w:bottom w:val="single" w:sz="4" w:space="0" w:color="006633"/>
      </w:pBdr>
      <w:spacing w:after="100"/>
    </w:pPr>
    <w:r>
      <w:rPr>
        <w:i/>
        <w:iCs/>
        <w:color w:val="888888"/>
        <w:sz w:val="18"/>
        <w:szCs w:val="18"/>
      </w:rPr>
      <w:t>ENCG Settat  —  Module IA  —  Filière Finance L3 S8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C7F00"/>
    <w:multiLevelType w:val="hybridMultilevel"/>
    <w:tmpl w:val="CC568D02"/>
    <w:lvl w:ilvl="0" w:tplc="1F22B6B2">
      <w:start w:val="1"/>
      <w:numFmt w:val="bullet"/>
      <w:lvlText w:val="–"/>
      <w:lvlJc w:val="left"/>
      <w:pPr>
        <w:spacing w:after="100"/>
        <w:ind w:left="720" w:hanging="360"/>
      </w:pPr>
    </w:lvl>
    <w:lvl w:ilvl="1" w:tplc="3C1C6A9A">
      <w:numFmt w:val="decimal"/>
      <w:lvlText w:val=""/>
      <w:lvlJc w:val="left"/>
    </w:lvl>
    <w:lvl w:ilvl="2" w:tplc="FA7A9CE6">
      <w:numFmt w:val="decimal"/>
      <w:lvlText w:val=""/>
      <w:lvlJc w:val="left"/>
    </w:lvl>
    <w:lvl w:ilvl="3" w:tplc="A0CAE7CC">
      <w:numFmt w:val="decimal"/>
      <w:lvlText w:val=""/>
      <w:lvlJc w:val="left"/>
    </w:lvl>
    <w:lvl w:ilvl="4" w:tplc="FCC23928">
      <w:numFmt w:val="decimal"/>
      <w:lvlText w:val=""/>
      <w:lvlJc w:val="left"/>
    </w:lvl>
    <w:lvl w:ilvl="5" w:tplc="295CF514">
      <w:numFmt w:val="decimal"/>
      <w:lvlText w:val=""/>
      <w:lvlJc w:val="left"/>
    </w:lvl>
    <w:lvl w:ilvl="6" w:tplc="99D60C1C">
      <w:numFmt w:val="decimal"/>
      <w:lvlText w:val=""/>
      <w:lvlJc w:val="left"/>
    </w:lvl>
    <w:lvl w:ilvl="7" w:tplc="0B6CB054">
      <w:numFmt w:val="decimal"/>
      <w:lvlText w:val=""/>
      <w:lvlJc w:val="left"/>
    </w:lvl>
    <w:lvl w:ilvl="8" w:tplc="13FE71B6">
      <w:numFmt w:val="decimal"/>
      <w:lvlText w:val=""/>
      <w:lvlJc w:val="left"/>
    </w:lvl>
  </w:abstractNum>
  <w:abstractNum w:abstractNumId="1" w15:restartNumberingAfterBreak="0">
    <w:nsid w:val="39C91F2A"/>
    <w:multiLevelType w:val="hybridMultilevel"/>
    <w:tmpl w:val="8C3C8200"/>
    <w:lvl w:ilvl="0" w:tplc="9CA4B4EA">
      <w:start w:val="1"/>
      <w:numFmt w:val="decimal"/>
      <w:lvlText w:val="%1."/>
      <w:lvlJc w:val="left"/>
      <w:pPr>
        <w:spacing w:after="100"/>
        <w:ind w:left="720" w:hanging="360"/>
      </w:pPr>
    </w:lvl>
    <w:lvl w:ilvl="1" w:tplc="E7CABFFC">
      <w:numFmt w:val="decimal"/>
      <w:lvlText w:val=""/>
      <w:lvlJc w:val="left"/>
    </w:lvl>
    <w:lvl w:ilvl="2" w:tplc="ACBAC626">
      <w:numFmt w:val="decimal"/>
      <w:lvlText w:val=""/>
      <w:lvlJc w:val="left"/>
    </w:lvl>
    <w:lvl w:ilvl="3" w:tplc="211CB4B6">
      <w:numFmt w:val="decimal"/>
      <w:lvlText w:val=""/>
      <w:lvlJc w:val="left"/>
    </w:lvl>
    <w:lvl w:ilvl="4" w:tplc="380CAE34">
      <w:numFmt w:val="decimal"/>
      <w:lvlText w:val=""/>
      <w:lvlJc w:val="left"/>
    </w:lvl>
    <w:lvl w:ilvl="5" w:tplc="B0F06DE6">
      <w:numFmt w:val="decimal"/>
      <w:lvlText w:val=""/>
      <w:lvlJc w:val="left"/>
    </w:lvl>
    <w:lvl w:ilvl="6" w:tplc="927E6BB0">
      <w:numFmt w:val="decimal"/>
      <w:lvlText w:val=""/>
      <w:lvlJc w:val="left"/>
    </w:lvl>
    <w:lvl w:ilvl="7" w:tplc="ABF42304">
      <w:numFmt w:val="decimal"/>
      <w:lvlText w:val=""/>
      <w:lvlJc w:val="left"/>
    </w:lvl>
    <w:lvl w:ilvl="8" w:tplc="D0748F5C">
      <w:numFmt w:val="decimal"/>
      <w:lvlText w:val=""/>
      <w:lvlJc w:val="left"/>
    </w:lvl>
  </w:abstractNum>
  <w:abstractNum w:abstractNumId="2" w15:restartNumberingAfterBreak="0">
    <w:nsid w:val="7DDA5DEA"/>
    <w:multiLevelType w:val="hybridMultilevel"/>
    <w:tmpl w:val="A6CA2BB2"/>
    <w:lvl w:ilvl="0" w:tplc="955A4B7A">
      <w:start w:val="1"/>
      <w:numFmt w:val="bullet"/>
      <w:lvlText w:val="●"/>
      <w:lvlJc w:val="left"/>
      <w:pPr>
        <w:ind w:left="720" w:hanging="360"/>
      </w:pPr>
    </w:lvl>
    <w:lvl w:ilvl="1" w:tplc="FEA6BC2A">
      <w:start w:val="1"/>
      <w:numFmt w:val="bullet"/>
      <w:lvlText w:val="○"/>
      <w:lvlJc w:val="left"/>
      <w:pPr>
        <w:ind w:left="1440" w:hanging="360"/>
      </w:pPr>
    </w:lvl>
    <w:lvl w:ilvl="2" w:tplc="10644BB8">
      <w:start w:val="1"/>
      <w:numFmt w:val="bullet"/>
      <w:lvlText w:val="■"/>
      <w:lvlJc w:val="left"/>
      <w:pPr>
        <w:ind w:left="2160" w:hanging="360"/>
      </w:pPr>
    </w:lvl>
    <w:lvl w:ilvl="3" w:tplc="28800E9E">
      <w:start w:val="1"/>
      <w:numFmt w:val="bullet"/>
      <w:lvlText w:val="●"/>
      <w:lvlJc w:val="left"/>
      <w:pPr>
        <w:ind w:left="2880" w:hanging="360"/>
      </w:pPr>
    </w:lvl>
    <w:lvl w:ilvl="4" w:tplc="3CA29534">
      <w:start w:val="1"/>
      <w:numFmt w:val="bullet"/>
      <w:lvlText w:val="○"/>
      <w:lvlJc w:val="left"/>
      <w:pPr>
        <w:ind w:left="3600" w:hanging="360"/>
      </w:pPr>
    </w:lvl>
    <w:lvl w:ilvl="5" w:tplc="8EE8E2BA">
      <w:start w:val="1"/>
      <w:numFmt w:val="bullet"/>
      <w:lvlText w:val="■"/>
      <w:lvlJc w:val="left"/>
      <w:pPr>
        <w:ind w:left="4320" w:hanging="360"/>
      </w:pPr>
    </w:lvl>
    <w:lvl w:ilvl="6" w:tplc="9BD028B0">
      <w:start w:val="1"/>
      <w:numFmt w:val="bullet"/>
      <w:lvlText w:val="●"/>
      <w:lvlJc w:val="left"/>
      <w:pPr>
        <w:ind w:left="5040" w:hanging="360"/>
      </w:pPr>
    </w:lvl>
    <w:lvl w:ilvl="7" w:tplc="2C4E21CC">
      <w:start w:val="1"/>
      <w:numFmt w:val="bullet"/>
      <w:lvlText w:val="●"/>
      <w:lvlJc w:val="left"/>
      <w:pPr>
        <w:ind w:left="5760" w:hanging="360"/>
      </w:pPr>
    </w:lvl>
    <w:lvl w:ilvl="8" w:tplc="D0560C58">
      <w:start w:val="1"/>
      <w:numFmt w:val="bullet"/>
      <w:lvlText w:val="●"/>
      <w:lvlJc w:val="left"/>
      <w:pPr>
        <w:ind w:left="6480" w:hanging="360"/>
      </w:pPr>
    </w:lvl>
  </w:abstractNum>
  <w:num w:numId="1" w16cid:durableId="149181704">
    <w:abstractNumId w:val="2"/>
    <w:lvlOverride w:ilvl="0">
      <w:startOverride w:val="1"/>
    </w:lvlOverride>
  </w:num>
  <w:num w:numId="2" w16cid:durableId="1319770691">
    <w:abstractNumId w:val="1"/>
    <w:lvlOverride w:ilvl="0">
      <w:startOverride w:val="1"/>
    </w:lvlOverride>
  </w:num>
  <w:num w:numId="3" w16cid:durableId="470096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29F"/>
    <w:rsid w:val="0049529F"/>
    <w:rsid w:val="007B6C09"/>
    <w:rsid w:val="009A0394"/>
    <w:rsid w:val="00C15C5A"/>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70105"/>
  <w15:docId w15:val="{86E9E785-DFD9-440F-9EDF-4DC1F4C21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4"/>
        <w:szCs w:val="24"/>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6633"/>
      <w:sz w:val="28"/>
      <w:szCs w:val="28"/>
    </w:rPr>
  </w:style>
  <w:style w:type="paragraph" w:styleId="Heading2">
    <w:name w:val="heading 2"/>
    <w:uiPriority w:val="9"/>
    <w:unhideWhenUsed/>
    <w:qFormat/>
    <w:pPr>
      <w:spacing w:before="200" w:after="100"/>
      <w:outlineLvl w:val="1"/>
    </w:pPr>
    <w:rPr>
      <w:b/>
      <w:bCs/>
      <w:color w:val="00442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1455</Words>
  <Characters>8003</Characters>
  <Application>Microsoft Office Word</Application>
  <DocSecurity>0</DocSecurity>
  <Lines>66</Lines>
  <Paragraphs>18</Paragraphs>
  <ScaleCrop>false</ScaleCrop>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 el yesri</cp:lastModifiedBy>
  <cp:revision>2</cp:revision>
  <dcterms:created xsi:type="dcterms:W3CDTF">2026-03-17T16:49:00Z</dcterms:created>
  <dcterms:modified xsi:type="dcterms:W3CDTF">2026-03-17T16:59:00Z</dcterms:modified>
</cp:coreProperties>
</file>