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40" w:line="300" w:lineRule="auto"/>
        <w:rPr>
          <w:rFonts w:ascii="Arial" w:cs="Arial" w:eastAsia="Arial" w:hAnsi="Arial"/>
          <w:color w:val="1a365d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1a365d"/>
          <w:sz w:val="38"/>
          <w:szCs w:val="38"/>
          <w:rtl w:val="0"/>
        </w:rPr>
        <w:t xml:space="preserve">BBW Platform – Strategic Growth Proposal &amp; AI Roadmap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71809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18096"/>
          <w:sz w:val="20"/>
          <w:szCs w:val="20"/>
          <w:rtl w:val="0"/>
        </w:rPr>
        <w:t xml:space="preserve">Prepared for:</w:t>
      </w:r>
      <w:r w:rsidDel="00000000" w:rsidR="00000000" w:rsidRPr="00000000">
        <w:rPr>
          <w:rFonts w:ascii="Arial" w:cs="Arial" w:eastAsia="Arial" w:hAnsi="Arial"/>
          <w:color w:val="718096"/>
          <w:sz w:val="20"/>
          <w:szCs w:val="20"/>
          <w:rtl w:val="0"/>
        </w:rPr>
        <w:t xml:space="preserve"> Product Review &amp; Client Strategy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718096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718096"/>
          <w:sz w:val="20"/>
          <w:szCs w:val="20"/>
          <w:rtl w:val="0"/>
        </w:rPr>
        <w:t xml:space="preserve"> September 6,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Welcome to your custom digital platform proposal. This roadmap transitions your project from a foundational web application into an intelligent business co-pilot designed to streamline operations and drive startup growth.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rFonts w:ascii="Arial" w:cs="Arial" w:eastAsia="Arial" w:hAnsi="Arial"/>
          <w:color w:val="2b6cb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b6cb0"/>
          <w:sz w:val="26"/>
          <w:szCs w:val="26"/>
          <w:rtl w:val="0"/>
        </w:rPr>
        <w:t xml:space="preserve">Executive Investment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b6cb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404"/>
        <w:gridCol w:w="4212"/>
        <w:gridCol w:w="2340"/>
        <w:gridCol w:w="1404"/>
        <w:tblGridChange w:id="0">
          <w:tblGrid>
            <w:gridCol w:w="1404"/>
            <w:gridCol w:w="4212"/>
            <w:gridCol w:w="2340"/>
            <w:gridCol w:w="1404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Stage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Package Focus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Target Delivery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Package Price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Stage 1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Foundational Launch Package (Basic MVP)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Beta: End of Nov 2026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Launch: Before Jan 2027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$5,000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trike w:val="1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718096"/>
                <w:sz w:val="18"/>
                <w:szCs w:val="18"/>
                <w:vertAlign w:val="baseline"/>
                <w:rtl w:val="0"/>
              </w:rPr>
              <w:t xml:space="preserve">($6,500)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Stage 2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Smart Features, Membership, Task Engine &amp; AI RAG Chatbot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Q1 2027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$15,000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Stage 3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The Complete AI Business Co-Pilot &amp; Security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$25,000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450" w:line="300" w:lineRule="auto"/>
        <w:rPr>
          <w:rFonts w:ascii="Arial" w:cs="Arial" w:eastAsia="Arial" w:hAnsi="Arial"/>
          <w:color w:val="2b6cb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b6cb0"/>
          <w:sz w:val="26"/>
          <w:szCs w:val="26"/>
          <w:rtl w:val="0"/>
        </w:rPr>
        <w:t xml:space="preserve">Stage 1: Foundational Launch Package (Basic MVP)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Special Package Price: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$5,000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(Total Standard Value: $6,500 – Includes $1,500 Initial Client Discount)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Timeline: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Beta Version Delivery by End of November 2026 | Official Online Launch before January 2027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Overview: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This stage delivers a fully functional, secure web application to meet your launch target. We handle all complex backend infrastructure, user access, and baseline content displays so your portal operates smoothly from day one.</w:t>
      </w:r>
    </w:p>
    <w:tbl>
      <w:tblPr>
        <w:tblStyle w:val="Table2"/>
        <w:tblW w:w="934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125"/>
        <w:gridCol w:w="2610"/>
        <w:gridCol w:w="5610"/>
        <w:tblGridChange w:id="0">
          <w:tblGrid>
            <w:gridCol w:w="1125"/>
            <w:gridCol w:w="2610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Module &amp; Value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Features &amp; Scope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1. Core Platform Setup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$1,500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Database Design: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Setting up a secure, scalable backend relational database to store customer profiles and system state.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Infrastructure Implementation: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Establishing automated cloud hosting, environment configuration, and service and domain deployment.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2. Account &amp; Login System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$1,500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User Registration: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Standard sign-up and authentication workflows for secure user onboarding.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Access Management: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Password protection, user profile management, and dashboard navigation.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3. Business Information Hub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$1,000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Founder Dashboard: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A clean overview displaying core company details, current business stage, and strategic goals.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Manual Workspace Updates: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Administrative controls to update company information and operational progress.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4. Starter Industry Chatbox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$1,000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Clean Chat Interface: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A simple chat box UI for baseline inquiries and startup questions.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Automated Baseline Answers: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Pre-configured response templates for standard industry guidance without deep contextual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5. Industry News Feed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Live News Stream: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Embedded news integration pulling in real-time biotech and business news automatically.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Persistent Visibility: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Positioned to keep users informed on market signals directly within their workspace.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6. Basic Community Directory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Value: $1,000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Directory Cards: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List views showcasing relevant industry groups, partner networks, and peer founder communities.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Community Profiles: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Structured cards displaying focus areas, details, and membership info for featured communities.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Stage 1 Extended Modules (Optional Add-ons / Future Enhancement)</w:t>
      </w:r>
    </w:p>
    <w:tbl>
      <w:tblPr>
        <w:tblStyle w:val="Table3"/>
        <w:tblW w:w="9345.0" w:type="dxa"/>
        <w:jc w:val="left"/>
        <w:tblBorders>
          <w:top w:color="cbd5e0" w:space="0" w:sz="12" w:val="single"/>
          <w:left w:color="cbd5e0" w:space="0" w:sz="12" w:val="single"/>
          <w:bottom w:color="cbd5e0" w:space="0" w:sz="12" w:val="single"/>
          <w:right w:color="cbd5e0" w:space="0" w:sz="12" w:val="single"/>
          <w:insideH w:color="cbd5e0" w:space="0" w:sz="12" w:val="single"/>
          <w:insideV w:color="cbd5e0" w:space="0" w:sz="12" w:val="single"/>
        </w:tblBorders>
        <w:tblLayout w:type="fixed"/>
        <w:tblLook w:val="0600"/>
      </w:tblPr>
      <w:tblGrid>
        <w:gridCol w:w="1110"/>
        <w:gridCol w:w="2625"/>
        <w:gridCol w:w="5610"/>
        <w:tblGridChange w:id="0">
          <w:tblGrid>
            <w:gridCol w:w="1110"/>
            <w:gridCol w:w="2625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Extended Module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Description &amp; Business Value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1E. Interactive Resource Vault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$1,500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A downloadable library of legal templates, pitch deck frameworks, and regulatory checklists tailored for early-stage startups.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2E. Multi-Tenant Organization Switcher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$1,500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Allows founders and investors to seamlessly switch between multiple company profiles or portfolio entities under a single login.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450" w:line="300" w:lineRule="auto"/>
        <w:rPr>
          <w:rFonts w:ascii="Arial" w:cs="Arial" w:eastAsia="Arial" w:hAnsi="Arial"/>
          <w:color w:val="2b6cb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b6cb0"/>
          <w:sz w:val="26"/>
          <w:szCs w:val="26"/>
          <w:rtl w:val="0"/>
        </w:rPr>
        <w:t xml:space="preserve">Stage 2: Smart Features, Membership &amp; Task Engine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Estimated Investment: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$15,000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Overview: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Stage 2 transitions your platform from a basic web tool into an interactive, revenue-generating SaaS product with core membership billing, workflow tracking, and an advanced AI-centric RAG chatbot.</w:t>
      </w:r>
    </w:p>
    <w:tbl>
      <w:tblPr>
        <w:tblStyle w:val="Table4"/>
        <w:tblW w:w="934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110"/>
        <w:gridCol w:w="2625"/>
        <w:gridCol w:w="5610"/>
        <w:tblGridChange w:id="0">
          <w:tblGrid>
            <w:gridCol w:w="1110"/>
            <w:gridCol w:w="2625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Module &amp; Price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Features &amp; Scope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1. Paid Membership &amp; Billing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$3,500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Payment Gateway Integration: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Complete Stripe integration for processing automated recurring credit card subscriptions.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Tiered Access Paywalls: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Restrict premium community channels, specialized tools, and advanced AI features strictly to active paying members.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2. AI-Centric Chatbot with RAG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$4,500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Advanced Conversational Assistant: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Context-aware AI assistant powered by Retrieval-Augmented Generation to answer complex queries against platform knowledge and custom data.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Dynamic Memory &amp; Prompt Routing: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Intelligent query routing and session memory management for high-precision advisory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3. Business Progress Task Tracker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$3,500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Visual Kanban Board: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Categorize operational work into 'To Do', 'In Progress', and 'Completed' project boards</w:t>
            </w:r>
            <w:r w:rsidDel="00000000" w:rsidR="00000000" w:rsidRPr="00000000">
              <w:rPr>
                <w:color w:val="2d3748"/>
                <w:sz w:val="20"/>
                <w:szCs w:val="20"/>
                <w:rtl w:val="0"/>
              </w:rPr>
              <w:t xml:space="preserve"> with auto suggestion tasks as the company's next steps.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Live Progress Indicators: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Dynamic percentage tracking to visually measure project completion and team productivity.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4. Interactive Founder Community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$3,500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Peer Connections: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Enable direct founder messaging and custom community creation requests.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Smart Matching: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Algorithmically match founders with relevant peer groups based on company stage and clinical indication.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Stage 2 Extended Modules (Optional Add-ons / Future Enhancement)</w:t>
      </w:r>
    </w:p>
    <w:tbl>
      <w:tblPr>
        <w:tblStyle w:val="Table5"/>
        <w:tblW w:w="934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155"/>
        <w:gridCol w:w="2580"/>
        <w:gridCol w:w="5610"/>
        <w:tblGridChange w:id="0">
          <w:tblGrid>
            <w:gridCol w:w="1155"/>
            <w:gridCol w:w="2580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Extended Module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Description &amp; Business Value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1E. Smart AI Document Assistant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$3,500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Dedicated workspace document ingestion engine allowing founders to upload proprietary pitch decks, research papers, and financial plans for custom RAG analysis.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2E. Personalized AI News Feed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$2,500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Targeted market context engine where AI automatically filters industry news streams based on the startup's specific therapeutic area, funding round, and target market.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3E. Advanced CRM &amp; Lead Pipeline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$4,000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Built-in CRM tracking investor meetings, outreach pipelines, and conversion metrics directly inside the user dashboard.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4E. Automated Email Outreach Engine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$3,500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Direct SMTP/IMAP integration (such as Himalaya CLI backend workflows) to automate cold email campaigns and track engagement.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600" w:line="300" w:lineRule="auto"/>
        <w:ind w:left="225" w:right="225" w:firstLine="0"/>
        <w:rPr>
          <w:rFonts w:ascii="Arial" w:cs="Arial" w:eastAsia="Arial" w:hAnsi="Arial"/>
          <w:color w:val="2d3748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left="225" w:right="225" w:firstLine="0"/>
        <w:rPr>
          <w:rFonts w:ascii="Arial" w:cs="Arial" w:eastAsia="Arial" w:hAnsi="Arial"/>
          <w:color w:val="276749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76749"/>
          <w:sz w:val="24"/>
          <w:szCs w:val="24"/>
          <w:highlight w:val="white"/>
          <w:rtl w:val="0"/>
        </w:rPr>
        <w:t xml:space="preserve">Stage 2: RAG Data Cleaning &amp; Token Charging Structure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225" w:right="225" w:firstLine="0"/>
        <w:rPr>
          <w:rFonts w:ascii="Arial" w:cs="Arial" w:eastAsia="Arial" w:hAnsi="Arial"/>
          <w:color w:val="2d3748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To ensure sustainable unit economics for RAG capabilities while remaining highly competitive against standard market rates ($5,000–$15,000 for vector setup), we implement a transparent two-part AI pricing model: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225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One-Time RAG Data Cleaning &amp; Vectorization Setup: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$2,500 flat fee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(covers ingestion, automated noise filtering, document chunking, and embedding generation for up to 50 proprietary files/pitch decks).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225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Token Consumption Charging Plan (Usage-Based Overage):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Included in Subscription: 50,000 AI tokens/month per active user seat.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Overage Rate: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$0.003 per 1,000 tokens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(incorporating a safe margin over raw API costs to cover infrastructure uptime).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Transparent Dashboard: Real-time user token meter displaying current consumption and remaining allowance.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rFonts w:ascii="Arial" w:cs="Arial" w:eastAsia="Arial" w:hAnsi="Arial"/>
          <w:color w:val="2b6cb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b6cb0"/>
          <w:sz w:val="26"/>
          <w:szCs w:val="26"/>
          <w:rtl w:val="0"/>
        </w:rPr>
        <w:t xml:space="preserve">Stage 3: The Complete AI Business Co-Pilot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Estimated Investment: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$25,000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Overview: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The final phase fully automates startup operations, turning the platform into an active digital manager that alerts founders to risks, generates investor reports, and protects intellectual property.</w:t>
      </w:r>
    </w:p>
    <w:tbl>
      <w:tblPr>
        <w:tblStyle w:val="Table6"/>
        <w:tblW w:w="9345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140"/>
        <w:gridCol w:w="2595"/>
        <w:gridCol w:w="5610"/>
        <w:tblGridChange w:id="0">
          <w:tblGrid>
            <w:gridCol w:w="1140"/>
            <w:gridCol w:w="2595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Module &amp; Price</w:t>
            </w:r>
          </w:p>
        </w:tc>
        <w:tc>
          <w:tcPr>
            <w:shd w:fill="f7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Features &amp; Scope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1. Automatic Task Creator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$6,500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AI Workflow Execution: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The AI converts high-level strategic chat conversations directly into step-by-step actionable tasks on your project tracking 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2. Proactive Business Monitor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$6,000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Predictive Monitoring: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Continuously tracks company cash runway, target milestones, and industry news to send proactive alerts on potential business risks or funding opportunities.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3. Investor Report Generator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$5,500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Automated Reporting: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Instantly package company updates, milestone progress, and financial status into polished, exportable investor memos and board decks.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4. Private &amp; Secure AI Setup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vertAlign w:val="baseline"/>
                <w:rtl w:val="0"/>
              </w:rPr>
              <w:t xml:space="preserve">Price: $7,000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vertAlign w:val="baseline"/>
                <w:rtl w:val="0"/>
              </w:rPr>
              <w:t xml:space="preserve">Dedicated Agent Enclaves: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vertAlign w:val="baseline"/>
                <w:rtl w:val="0"/>
              </w:rPr>
              <w:t xml:space="preserve"> Localized, private AI agent deployments ensuring complete data isolation, maximum processing speed, and total protection for sensitive IP.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Stage 3 Extended Modules (Optional Add-ons / Future Enhancement)</w:t>
      </w:r>
    </w:p>
    <w:tbl>
      <w:tblPr>
        <w:tblStyle w:val="Table7"/>
        <w:tblW w:w="9345.0" w:type="dxa"/>
        <w:jc w:val="left"/>
        <w:tblBorders>
          <w:top w:color="cbd5e0" w:space="0" w:sz="12" w:val="single"/>
          <w:left w:color="cbd5e0" w:space="0" w:sz="12" w:val="single"/>
          <w:bottom w:color="cbd5e0" w:space="0" w:sz="12" w:val="single"/>
          <w:right w:color="cbd5e0" w:space="0" w:sz="12" w:val="single"/>
          <w:insideH w:color="cbd5e0" w:space="0" w:sz="12" w:val="single"/>
          <w:insideV w:color="cbd5e0" w:space="0" w:sz="12" w:val="single"/>
        </w:tblBorders>
        <w:tblLayout w:type="fixed"/>
        <w:tblLook w:val="0600"/>
      </w:tblPr>
      <w:tblGrid>
        <w:gridCol w:w="1110"/>
        <w:gridCol w:w="2625"/>
        <w:gridCol w:w="5610"/>
        <w:tblGridChange w:id="0">
          <w:tblGrid>
            <w:gridCol w:w="1110"/>
            <w:gridCol w:w="2625"/>
            <w:gridCol w:w="5610"/>
          </w:tblGrid>
        </w:tblGridChange>
      </w:tblGrid>
      <w:tr>
        <w:trPr>
          <w:cantSplit w:val="0"/>
          <w:tblHeader w:val="1"/>
        </w:trPr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Select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Extended Module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Description &amp; Business Value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1E. Autonomous Multi-Agent Orchestration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$7,500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Integration of advanced agent frameworks (similar to Hermes architectures) allowing background worker agents to execute multi-step operational loops autonomously.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color w:val="2d374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2E. Enterprise Compliance &amp; Audit Enclave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718096"/>
                <w:sz w:val="18"/>
                <w:szCs w:val="18"/>
                <w:shd w:fill="auto" w:val="clear"/>
                <w:vertAlign w:val="baseline"/>
                <w:rtl w:val="0"/>
              </w:rPr>
              <w:t xml:space="preserve">Est. Value: $6,000</w:t>
            </w:r>
          </w:p>
        </w:tc>
        <w:tc>
          <w:tcPr>
            <w:shd w:fill="f8fafc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20"/>
                <w:szCs w:val="20"/>
                <w:shd w:fill="auto" w:val="clear"/>
                <w:vertAlign w:val="baseline"/>
                <w:rtl w:val="0"/>
              </w:rPr>
              <w:t xml:space="preserve">Enhanced cryptographic audit logging, SOC2-ready data governance workflows, and strict role-based access control for institutional clients.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600" w:line="300" w:lineRule="auto"/>
        <w:ind w:left="225" w:right="225" w:firstLine="0"/>
        <w:rPr>
          <w:rFonts w:ascii="Arial" w:cs="Arial" w:eastAsia="Arial" w:hAnsi="Arial"/>
          <w:color w:val="2d3748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ind w:left="225" w:right="225" w:firstLine="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Stage 3: Advanced Agentic Data Cleaning &amp; Overage Structure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225" w:right="225" w:firstLine="0"/>
        <w:rPr>
          <w:rFonts w:ascii="Arial" w:cs="Arial" w:eastAsia="Arial" w:hAnsi="Arial"/>
          <w:color w:val="2d3748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As autonomous agents and multi-step reasoning consume higher token multipliers, Stage 3 introduces enterprise-grade data sanitization and tiered tier-based consumption pricing: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225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Autonomous Data Pipeline Cleaning &amp; ETL Setup: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$4,500 flat fee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(continuous automated parsing, unstructured document normalization, and multi-source database indexing for enterprise data pipelines).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225" w:hanging="360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Agentic Token &amp; Compute Consumption Plan: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Enterprise Base Allowance: 250,000 agent reasoning tokens/month.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High-Tier Overage Rate: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highlight w:val="white"/>
          <w:rtl w:val="0"/>
        </w:rPr>
        <w:t xml:space="preserve">$0.005 per 1,000 reasoning tokens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 (factoring in multi-step agent loop overhead and secure containerized execution).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highlight w:val="white"/>
          <w:rtl w:val="0"/>
        </w:rPr>
        <w:t xml:space="preserve">• Usage Forecasting &amp; Alerts: Automated threshold warnings when users approach 80% of their monthly token allocation.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718096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highlight w:val="white"/>
          <w:rtl w:val="0"/>
        </w:rPr>
        <w:t xml:space="preserve">* There will be further stages as needed for continuous platform expansion and enterprise scaling.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5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