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rFonts w:ascii="Aptos" w:hAnsi="Aptos"/>
          <w:b/>
          <w:i w:val="0"/>
          <w:color w:val="0E7C7B"/>
          <w:sz w:val="19"/>
        </w:rPr>
        <w:t>PRODUCT DESIGN &amp; IMPLEMENTATION SPECIFICATION</w:t>
      </w:r>
    </w:p>
    <w:p>
      <w:pPr>
        <w:pStyle w:val="Title"/>
      </w:pPr>
      <w:r>
        <w:t>BBW Platform</w:t>
        <w:br/>
        <w:t>Stage 1</w:t>
      </w:r>
    </w:p>
    <w:p>
      <w:pPr>
        <w:pStyle w:val="Subtitle"/>
      </w:pPr>
      <w:r>
        <w:t>Public launch foundation for founders, service providers, venture investors, and a separate management application</w:t>
      </w:r>
    </w:p>
    <w:p>
      <w:pPr>
        <w:spacing w:after="360"/>
      </w:pPr>
      <w:r>
        <w:rPr>
          <w:rFonts w:ascii="Aptos" w:hAnsi="Aptos"/>
          <w:b/>
          <w:i w:val="0"/>
          <w:color w:val="5D6A75"/>
          <w:sz w:val="19"/>
        </w:rPr>
        <w:t>Version 1.1  |  Updated 25 September 2026</w:t>
      </w:r>
    </w:p>
    <w:p>
      <w:pPr>
        <w:spacing w:before="80" w:after="140"/>
        <w:ind w:left="202" w:right="202"/>
        <w:shd w:fill="E8F5F4"/>
        <w:pBdr>
          <w:left w:val="single" w:sz="18" w:space="8" w:color="0E7C7B"/>
        </w:pBdr>
      </w:pPr>
      <w:r>
        <w:rPr>
          <w:rFonts w:ascii="Aptos" w:hAnsi="Aptos"/>
          <w:b/>
          <w:color w:val="17324D"/>
          <w:sz w:val="20"/>
        </w:rPr>
        <w:t xml:space="preserve">DECISION SUMMARY  </w:t>
      </w:r>
      <w:r>
        <w:rPr>
          <w:rFonts w:ascii="Aptos" w:hAnsi="Aptos"/>
          <w:color w:val="202A33"/>
          <w:sz w:val="19"/>
        </w:rPr>
        <w:t>The product will launch as a public chat-and-news experience with three signed-in member types: Founder, Service Provider, and VC. Management functions will live in a separately deployed admin application. Private startup data is never visible to VCs by default; founders or authorized management users publish selected, expiring company snapshots.</w:t>
      </w:r>
    </w:p>
    <w:p>
      <w:pPr>
        <w:spacing w:after="60"/>
      </w:pPr>
      <w:r>
        <w:rPr>
          <w:rFonts w:ascii="Aptos" w:hAnsi="Aptos"/>
          <w:b/>
          <w:i w:val="0"/>
          <w:color w:val="17324D"/>
          <w:sz w:val="20"/>
        </w:rPr>
        <w:t>Prepared from</w:t>
      </w:r>
    </w:p>
    <w:p>
      <w:pPr>
        <w:pStyle w:val="ListBullet"/>
      </w:pPr>
      <w:r>
        <w:t>BBW Platform Strategic Proposal</w:t>
      </w:r>
    </w:p>
    <w:p>
      <w:pPr>
        <w:pStyle w:val="ListBullet"/>
      </w:pPr>
      <w:r>
        <w:t>BBW Stage 1 SOW — Concise Contractor Edition</w:t>
      </w:r>
    </w:p>
    <w:p>
      <w:pPr>
        <w:pStyle w:val="ListBullet"/>
      </w:pPr>
      <w:r>
        <w:t>Reviewer comments in the prior Stage 1 design</w:t>
      </w:r>
    </w:p>
    <w:p>
      <w:pPr>
        <w:pStyle w:val="ListBullet"/>
      </w:pPr>
      <w:r>
        <w:t>Platform-owner questionnaire structure (no completed answer fields were present in the supplied file)</w:t>
      </w:r>
    </w:p>
    <w:p>
      <w:pPr>
        <w:spacing w:after="60"/>
      </w:pPr>
      <w:r>
        <w:rPr>
          <w:rFonts w:ascii="Aptos" w:hAnsi="Aptos"/>
          <w:b/>
          <w:i w:val="0"/>
          <w:color w:val="17324D"/>
          <w:sz w:val="20"/>
        </w:rPr>
        <w:t>Document status</w:t>
      </w:r>
    </w:p>
    <w:p>
      <w:pPr>
        <w:spacing w:after="120"/>
      </w:pPr>
      <w:r>
        <w:rPr>
          <w:rFonts w:ascii="Aptos" w:hAnsi="Aptos"/>
          <w:b w:val="0"/>
          <w:i w:val="0"/>
          <w:color w:val="5D6A75"/>
          <w:sz w:val="19"/>
        </w:rPr>
        <w:t>Implementation-ready baseline, subject only to the business decisions listed in Section 11.</w:t>
      </w:r>
    </w:p>
    <w:p>
      <w:r>
        <w:br w:type="page"/>
      </w:r>
    </w:p>
    <w:p>
      <w:pPr>
        <w:pStyle w:val="Heading1"/>
        <w:keepNext/>
      </w:pPr>
      <w:r>
        <w:t>Contents</w:t>
      </w:r>
    </w:p>
    <w:p>
      <w:pPr>
        <w:pStyle w:val="ListBullet"/>
      </w:pPr>
      <w:r>
        <w:t>1. Product decisions and scope</w:t>
      </w:r>
    </w:p>
    <w:p>
      <w:pPr>
        <w:pStyle w:val="ListBullet"/>
      </w:pPr>
      <w:r>
        <w:t>2. Users, permissions, and tenancy</w:t>
      </w:r>
    </w:p>
    <w:p>
      <w:pPr>
        <w:pStyle w:val="ListBullet"/>
      </w:pPr>
      <w:r>
        <w:t>3. Experience architecture and primary journeys</w:t>
      </w:r>
    </w:p>
    <w:p>
      <w:pPr>
        <w:pStyle w:val="ListBullet"/>
      </w:pPr>
      <w:r>
        <w:t>4. Stage 1 modules and requirements</w:t>
      </w:r>
    </w:p>
    <w:p>
      <w:pPr>
        <w:pStyle w:val="ListBullet"/>
      </w:pPr>
      <w:r>
        <w:t>5. Screen blueprints</w:t>
      </w:r>
    </w:p>
    <w:p>
      <w:pPr>
        <w:pStyle w:val="ListBullet"/>
      </w:pPr>
      <w:r>
        <w:t>6. Technical architecture and platform choice</w:t>
      </w:r>
    </w:p>
    <w:p>
      <w:pPr>
        <w:pStyle w:val="ListBullet"/>
      </w:pPr>
      <w:r>
        <w:t>7. Data model, integrations, and analytics</w:t>
      </w:r>
    </w:p>
    <w:p>
      <w:pPr>
        <w:pStyle w:val="ListBullet"/>
      </w:pPr>
      <w:r>
        <w:t>8. Security, privacy, and accessibility</w:t>
      </w:r>
    </w:p>
    <w:p>
      <w:pPr>
        <w:pStyle w:val="ListBullet"/>
      </w:pPr>
      <w:r>
        <w:t>9. Acceptance criteria and release plan</w:t>
      </w:r>
    </w:p>
    <w:p>
      <w:pPr>
        <w:pStyle w:val="ListBullet"/>
      </w:pPr>
      <w:r>
        <w:t>10. Stage 2 and Stage 3 extension path</w:t>
      </w:r>
    </w:p>
    <w:p>
      <w:pPr>
        <w:pStyle w:val="ListBullet"/>
      </w:pPr>
      <w:r>
        <w:t>11. Owner decisions still required</w:t>
      </w:r>
    </w:p>
    <w:p>
      <w:pPr>
        <w:pStyle w:val="ListBullet"/>
      </w:pPr>
      <w:r>
        <w:t>Appendix A. Review-comment resolution log</w:t>
      </w:r>
    </w:p>
    <w:p>
      <w:pPr>
        <w:spacing w:before="80" w:after="140"/>
        <w:ind w:left="202" w:right="202"/>
        <w:shd w:fill="F3F5F7"/>
        <w:pBdr>
          <w:left w:val="single" w:sz="18" w:space="8" w:color="0E7C7B"/>
        </w:pBdr>
      </w:pPr>
      <w:r>
        <w:rPr>
          <w:rFonts w:ascii="Aptos" w:hAnsi="Aptos"/>
          <w:b/>
          <w:color w:val="17324D"/>
          <w:sz w:val="20"/>
        </w:rPr>
        <w:t xml:space="preserve">How to use this document  </w:t>
      </w:r>
      <w:r>
        <w:rPr>
          <w:rFonts w:ascii="Aptos" w:hAnsi="Aptos"/>
          <w:color w:val="202A33"/>
          <w:sz w:val="19"/>
        </w:rPr>
        <w:t>Product owners approve the decisions and unresolved items. Design uses the screen blueprints as the interaction baseline. Engineering implements the module requirements and acceptance criteria. Any material deviation is documented through change control.</w:t>
      </w:r>
    </w:p>
    <w:p>
      <w:pPr>
        <w:pStyle w:val="Heading1"/>
        <w:keepNext/>
      </w:pPr>
      <w:r>
        <w:t>1. Product decisions and scope</w:t>
      </w:r>
    </w:p>
    <w:p>
      <w:pPr>
        <w:pStyle w:val="Heading2"/>
        <w:keepNext/>
      </w:pPr>
      <w:r>
        <w:t>1.1 Product definition</w:t>
      </w:r>
    </w:p>
    <w:p>
      <w:pPr>
        <w:spacing w:after="120"/>
      </w:pPr>
      <w:r>
        <w:rPr>
          <w:rFonts w:ascii="Aptos" w:hAnsi="Aptos"/>
          <w:b w:val="0"/>
          <w:i w:val="0"/>
          <w:color w:val="202A33"/>
          <w:sz w:val="21"/>
        </w:rPr>
        <w:t>BBW is a public-facing digital ecosystem for biotech and life-science founders, service providers, and venture investors. Stage 1 establishes the identity, structured profiles, news intelligence, AI assistance, ecosystem discovery, controlled company sharing, and management operations required for a credible public launch.</w:t>
      </w:r>
    </w:p>
    <w:p>
      <w:pPr>
        <w:spacing w:before="80" w:after="140"/>
        <w:ind w:left="202" w:right="202"/>
        <w:shd w:fill="EAF2F8"/>
        <w:pBdr>
          <w:left w:val="single" w:sz="18" w:space="8" w:color="0E7C7B"/>
        </w:pBdr>
      </w:pPr>
      <w:r>
        <w:rPr>
          <w:rFonts w:ascii="Aptos" w:hAnsi="Aptos"/>
          <w:b/>
          <w:color w:val="17324D"/>
          <w:sz w:val="20"/>
        </w:rPr>
        <w:t xml:space="preserve">Primary public promise  </w:t>
      </w:r>
      <w:r>
        <w:rPr>
          <w:rFonts w:ascii="Aptos" w:hAnsi="Aptos"/>
          <w:color w:val="202A33"/>
          <w:sz w:val="19"/>
        </w:rPr>
        <w:t>Ask a biotech business question, see current industry signals, and enter a trusted ecosystem tailored to your role.</w:t>
      </w:r>
    </w:p>
    <w:p>
      <w:pPr>
        <w:pStyle w:val="Heading2"/>
        <w:keepNext/>
      </w:pPr>
      <w:r>
        <w:t>1.2 Decisions incorporated in Version 1.1</w:t>
      </w:r>
    </w:p>
    <w:tbl>
      <w:tblPr>
        <w:tblStyle w:val="TableGrid"/>
        <w:tblW w:type="dxa" w:w="9360"/>
        <w:tblLayout w:type="fixed"/>
        <w:tblLook w:firstColumn="1" w:firstRow="1" w:lastColumn="0" w:lastRow="0" w:noHBand="0" w:noVBand="1" w:val="04A0"/>
        <w:jc w:val="left"/>
        <w:tblInd w:w="0" w:type="dxa"/>
      </w:tblPr>
      <w:tblGrid>
        <w:gridCol w:w="2100"/>
        <w:gridCol w:w="7260"/>
      </w:tblGrid>
      <w:tr>
        <w:trPr>
          <w:tblHeader w:val="true"/>
          <w:cantSplit/>
        </w:trPr>
        <w:tc>
          <w:tcPr>
            <w:tcW w:type="dxa" w:w="2100"/>
            <w:tcMar>
              <w:top w:w="90" w:type="dxa"/>
              <w:start w:w="110" w:type="dxa"/>
              <w:bottom w:w="90" w:type="dxa"/>
              <w:end w:w="110" w:type="dxa"/>
            </w:tcMar>
            <w:vAlign w:val="center"/>
            <w:shd w:fill="17324D"/>
          </w:tcPr>
          <w:p>
            <w:r>
              <w:rPr>
                <w:rFonts w:ascii="Aptos" w:hAnsi="Aptos"/>
                <w:b/>
                <w:color w:val="FFFFFF"/>
                <w:sz w:val="17"/>
              </w:rPr>
              <w:t>Decision</w:t>
            </w:r>
          </w:p>
        </w:tc>
        <w:tc>
          <w:tcPr>
            <w:tcW w:type="dxa" w:w="7260"/>
            <w:tcMar>
              <w:top w:w="90" w:type="dxa"/>
              <w:start w:w="110" w:type="dxa"/>
              <w:bottom w:w="90" w:type="dxa"/>
              <w:end w:w="110" w:type="dxa"/>
            </w:tcMar>
            <w:vAlign w:val="center"/>
            <w:shd w:fill="17324D"/>
          </w:tcPr>
          <w:p>
            <w:r>
              <w:rPr>
                <w:rFonts w:ascii="Aptos" w:hAnsi="Aptos"/>
                <w:b/>
                <w:color w:val="FFFFFF"/>
                <w:sz w:val="17"/>
              </w:rPr>
              <w:t>Stage 1 treatment</w:t>
            </w:r>
          </w:p>
        </w:tc>
      </w:tr>
      <w:tr>
        <w:trPr>
          <w:cantSplit/>
        </w:trPr>
        <w:tc>
          <w:tcPr>
            <w:tcW w:type="dxa" w:w="2100"/>
            <w:tcMar>
              <w:top w:w="90" w:type="dxa"/>
              <w:start w:w="110" w:type="dxa"/>
              <w:bottom w:w="90" w:type="dxa"/>
              <w:end w:w="110" w:type="dxa"/>
            </w:tcMar>
            <w:vAlign w:val="center"/>
          </w:tcPr>
          <w:p>
            <w:pPr>
              <w:spacing w:after="20" w:line="240" w:lineRule="auto"/>
            </w:pPr>
            <w:r>
              <w:rPr>
                <w:rFonts w:ascii="Aptos" w:hAnsi="Aptos"/>
                <w:color w:val="202A33"/>
                <w:sz w:val="17"/>
              </w:rPr>
              <w:t>Public home</w:t>
            </w:r>
          </w:p>
        </w:tc>
        <w:tc>
          <w:tcPr>
            <w:tcW w:type="dxa" w:w="7260"/>
            <w:tcMar>
              <w:top w:w="90" w:type="dxa"/>
              <w:start w:w="110" w:type="dxa"/>
              <w:bottom w:w="90" w:type="dxa"/>
              <w:end w:w="110" w:type="dxa"/>
            </w:tcMar>
            <w:vAlign w:val="center"/>
          </w:tcPr>
          <w:p>
            <w:pPr>
              <w:spacing w:after="20" w:line="240" w:lineRule="auto"/>
            </w:pPr>
            <w:r>
              <w:rPr>
                <w:rFonts w:ascii="Aptos" w:hAnsi="Aptos"/>
                <w:color w:val="202A33"/>
                <w:sz w:val="17"/>
              </w:rPr>
              <w:t>Gemini-like conversational composer is the dominant control; curated news is visible in the same first-page experience.</w:t>
            </w:r>
          </w:p>
        </w:tc>
      </w:tr>
      <w:tr>
        <w:trPr>
          <w:cantSplit/>
        </w:trPr>
        <w:tc>
          <w:tcPr>
            <w:tcW w:type="dxa" w:w="2100"/>
            <w:shd w:fill="FAFBFC"/>
            <w:tcMar>
              <w:top w:w="90" w:type="dxa"/>
              <w:start w:w="110" w:type="dxa"/>
              <w:bottom w:w="90" w:type="dxa"/>
              <w:end w:w="110" w:type="dxa"/>
            </w:tcMar>
            <w:vAlign w:val="center"/>
          </w:tcPr>
          <w:p>
            <w:pPr>
              <w:spacing w:after="20" w:line="240" w:lineRule="auto"/>
            </w:pPr>
            <w:r>
              <w:rPr>
                <w:rFonts w:ascii="Aptos" w:hAnsi="Aptos"/>
                <w:color w:val="202A33"/>
                <w:sz w:val="17"/>
              </w:rPr>
              <w:t>Platform introduction</w:t>
            </w:r>
          </w:p>
        </w:tc>
        <w:tc>
          <w:tcPr>
            <w:tcW w:type="dxa" w:w="7260"/>
            <w:shd w:fill="FAFBFC"/>
            <w:tcMar>
              <w:top w:w="90" w:type="dxa"/>
              <w:start w:w="110" w:type="dxa"/>
              <w:bottom w:w="90" w:type="dxa"/>
              <w:end w:w="110" w:type="dxa"/>
            </w:tcMar>
            <w:vAlign w:val="center"/>
          </w:tcPr>
          <w:p>
            <w:pPr>
              <w:spacing w:after="20" w:line="240" w:lineRule="auto"/>
            </w:pPr>
            <w:r>
              <w:rPr>
                <w:rFonts w:ascii="Aptos" w:hAnsi="Aptos"/>
                <w:color w:val="202A33"/>
                <w:sz w:val="17"/>
              </w:rPr>
              <w:t>A concise value proposition appears above the fold; fuller “What is BBW?” content sits below the main chat/news experience.</w:t>
            </w:r>
          </w:p>
        </w:tc>
      </w:tr>
      <w:tr>
        <w:trPr>
          <w:cantSplit/>
        </w:trPr>
        <w:tc>
          <w:tcPr>
            <w:tcW w:type="dxa" w:w="2100"/>
            <w:tcMar>
              <w:top w:w="90" w:type="dxa"/>
              <w:start w:w="110" w:type="dxa"/>
              <w:bottom w:w="90" w:type="dxa"/>
              <w:end w:w="110" w:type="dxa"/>
            </w:tcMar>
            <w:vAlign w:val="center"/>
          </w:tcPr>
          <w:p>
            <w:pPr>
              <w:spacing w:after="20" w:line="240" w:lineRule="auto"/>
            </w:pPr>
            <w:r>
              <w:rPr>
                <w:rFonts w:ascii="Aptos" w:hAnsi="Aptos"/>
                <w:color w:val="202A33"/>
                <w:sz w:val="17"/>
              </w:rPr>
              <w:t>Member types</w:t>
            </w:r>
          </w:p>
        </w:tc>
        <w:tc>
          <w:tcPr>
            <w:tcW w:type="dxa" w:w="7260"/>
            <w:tcMar>
              <w:top w:w="90" w:type="dxa"/>
              <w:start w:w="110" w:type="dxa"/>
              <w:bottom w:w="90" w:type="dxa"/>
              <w:end w:w="110" w:type="dxa"/>
            </w:tcMar>
            <w:vAlign w:val="center"/>
          </w:tcPr>
          <w:p>
            <w:pPr>
              <w:spacing w:after="20" w:line="240" w:lineRule="auto"/>
            </w:pPr>
            <w:r>
              <w:rPr>
                <w:rFonts w:ascii="Aptos" w:hAnsi="Aptos"/>
                <w:color w:val="202A33"/>
                <w:sz w:val="17"/>
              </w:rPr>
              <w:t>Founder, Service Provider, and VC are first-class signed-in account types with role-specific onboarding and dashboards.</w:t>
            </w:r>
          </w:p>
        </w:tc>
      </w:tr>
      <w:tr>
        <w:trPr>
          <w:cantSplit/>
        </w:trPr>
        <w:tc>
          <w:tcPr>
            <w:tcW w:type="dxa" w:w="2100"/>
            <w:shd w:fill="FAFBFC"/>
            <w:tcMar>
              <w:top w:w="90" w:type="dxa"/>
              <w:start w:w="110" w:type="dxa"/>
              <w:bottom w:w="90" w:type="dxa"/>
              <w:end w:w="110" w:type="dxa"/>
            </w:tcMar>
            <w:vAlign w:val="center"/>
          </w:tcPr>
          <w:p>
            <w:pPr>
              <w:spacing w:after="20" w:line="240" w:lineRule="auto"/>
            </w:pPr>
            <w:r>
              <w:rPr>
                <w:rFonts w:ascii="Aptos" w:hAnsi="Aptos"/>
                <w:color w:val="202A33"/>
                <w:sz w:val="17"/>
              </w:rPr>
              <w:t>Management</w:t>
            </w:r>
          </w:p>
        </w:tc>
        <w:tc>
          <w:tcPr>
            <w:tcW w:type="dxa" w:w="7260"/>
            <w:shd w:fill="FAFBFC"/>
            <w:tcMar>
              <w:top w:w="90" w:type="dxa"/>
              <w:start w:w="110" w:type="dxa"/>
              <w:bottom w:w="90" w:type="dxa"/>
              <w:end w:w="110" w:type="dxa"/>
            </w:tcMar>
            <w:vAlign w:val="center"/>
          </w:tcPr>
          <w:p>
            <w:pPr>
              <w:spacing w:after="20" w:line="240" w:lineRule="auto"/>
            </w:pPr>
            <w:r>
              <w:rPr>
                <w:rFonts w:ascii="Aptos" w:hAnsi="Aptos"/>
                <w:color w:val="202A33"/>
                <w:sz w:val="17"/>
              </w:rPr>
              <w:t>A separate management web application with separate navigation, deployment boundary, and privileged authorization.</w:t>
            </w:r>
          </w:p>
        </w:tc>
      </w:tr>
      <w:tr>
        <w:trPr>
          <w:cantSplit/>
        </w:trPr>
        <w:tc>
          <w:tcPr>
            <w:tcW w:type="dxa" w:w="2100"/>
            <w:tcMar>
              <w:top w:w="90" w:type="dxa"/>
              <w:start w:w="110" w:type="dxa"/>
              <w:bottom w:w="90" w:type="dxa"/>
              <w:end w:w="110" w:type="dxa"/>
            </w:tcMar>
            <w:vAlign w:val="center"/>
          </w:tcPr>
          <w:p>
            <w:pPr>
              <w:spacing w:after="20" w:line="240" w:lineRule="auto"/>
            </w:pPr>
            <w:r>
              <w:rPr>
                <w:rFonts w:ascii="Aptos" w:hAnsi="Aptos"/>
                <w:color w:val="202A33"/>
                <w:sz w:val="17"/>
              </w:rPr>
              <w:t>AI context</w:t>
            </w:r>
          </w:p>
        </w:tc>
        <w:tc>
          <w:tcPr>
            <w:tcW w:type="dxa" w:w="7260"/>
            <w:tcMar>
              <w:top w:w="90" w:type="dxa"/>
              <w:start w:w="110" w:type="dxa"/>
              <w:bottom w:w="90" w:type="dxa"/>
              <w:end w:w="110" w:type="dxa"/>
            </w:tcMar>
            <w:vAlign w:val="center"/>
          </w:tcPr>
          <w:p>
            <w:pPr>
              <w:spacing w:after="20" w:line="240" w:lineRule="auto"/>
            </w:pPr>
            <w:r>
              <w:rPr>
                <w:rFonts w:ascii="Aptos" w:hAnsi="Aptos"/>
                <w:color w:val="202A33"/>
                <w:sz w:val="17"/>
              </w:rPr>
              <w:t>The assistant may use the signed-in organization profile and current status as disclosed structured context; it does not use files or cross-user chat history in Stage 1.</w:t>
            </w:r>
          </w:p>
        </w:tc>
      </w:tr>
      <w:tr>
        <w:trPr>
          <w:cantSplit/>
        </w:trPr>
        <w:tc>
          <w:tcPr>
            <w:tcW w:type="dxa" w:w="2100"/>
            <w:shd w:fill="FAFBFC"/>
            <w:tcMar>
              <w:top w:w="90" w:type="dxa"/>
              <w:start w:w="110" w:type="dxa"/>
              <w:bottom w:w="90" w:type="dxa"/>
              <w:end w:w="110" w:type="dxa"/>
            </w:tcMar>
            <w:vAlign w:val="center"/>
          </w:tcPr>
          <w:p>
            <w:pPr>
              <w:spacing w:after="20" w:line="240" w:lineRule="auto"/>
            </w:pPr>
            <w:r>
              <w:rPr>
                <w:rFonts w:ascii="Aptos" w:hAnsi="Aptos"/>
                <w:color w:val="202A33"/>
                <w:sz w:val="17"/>
              </w:rPr>
              <w:t>VC access</w:t>
            </w:r>
          </w:p>
        </w:tc>
        <w:tc>
          <w:tcPr>
            <w:tcW w:type="dxa" w:w="7260"/>
            <w:shd w:fill="FAFBFC"/>
            <w:tcMar>
              <w:top w:w="90" w:type="dxa"/>
              <w:start w:w="110" w:type="dxa"/>
              <w:bottom w:w="90" w:type="dxa"/>
              <w:end w:w="110" w:type="dxa"/>
            </w:tcMar>
            <w:vAlign w:val="center"/>
          </w:tcPr>
          <w:p>
            <w:pPr>
              <w:spacing w:after="20" w:line="240" w:lineRule="auto"/>
            </w:pPr>
            <w:r>
              <w:rPr>
                <w:rFonts w:ascii="Aptos" w:hAnsi="Aptos"/>
                <w:color w:val="202A33"/>
                <w:sz w:val="17"/>
              </w:rPr>
              <w:t>A VC sees startup details only when a founder or authorized manager publishes a selected, revocable, expiring snapshot.</w:t>
            </w:r>
          </w:p>
        </w:tc>
      </w:tr>
      <w:tr>
        <w:trPr>
          <w:cantSplit/>
        </w:trPr>
        <w:tc>
          <w:tcPr>
            <w:tcW w:type="dxa" w:w="2100"/>
            <w:tcMar>
              <w:top w:w="90" w:type="dxa"/>
              <w:start w:w="110" w:type="dxa"/>
              <w:bottom w:w="90" w:type="dxa"/>
              <w:end w:w="110" w:type="dxa"/>
            </w:tcMar>
            <w:vAlign w:val="center"/>
          </w:tcPr>
          <w:p>
            <w:pPr>
              <w:spacing w:after="20" w:line="240" w:lineRule="auto"/>
            </w:pPr>
            <w:r>
              <w:rPr>
                <w:rFonts w:ascii="Aptos" w:hAnsi="Aptos"/>
                <w:color w:val="202A33"/>
                <w:sz w:val="17"/>
              </w:rPr>
              <w:t>Operations</w:t>
            </w:r>
          </w:p>
        </w:tc>
        <w:tc>
          <w:tcPr>
            <w:tcW w:type="dxa" w:w="7260"/>
            <w:tcMar>
              <w:top w:w="90" w:type="dxa"/>
              <w:start w:w="110" w:type="dxa"/>
              <w:bottom w:w="90" w:type="dxa"/>
              <w:end w:w="110" w:type="dxa"/>
            </w:tcMar>
            <w:vAlign w:val="center"/>
          </w:tcPr>
          <w:p>
            <w:pPr>
              <w:spacing w:after="20" w:line="240" w:lineRule="auto"/>
            </w:pPr>
            <w:r>
              <w:rPr>
                <w:rFonts w:ascii="Aptos" w:hAnsi="Aptos"/>
                <w:color w:val="202A33"/>
                <w:sz w:val="17"/>
              </w:rPr>
              <w:t>Management includes usage monitoring and third-party cost tracking for AI, hosting, database/storage, email, and news services.</w:t>
            </w:r>
          </w:p>
        </w:tc>
      </w:tr>
    </w:tbl>
    <w:p>
      <w:pPr>
        <w:spacing w:after="20"/>
      </w:pPr>
    </w:p>
    <w:p>
      <w:pPr>
        <w:pStyle w:val="Heading2"/>
        <w:keepNext/>
      </w:pPr>
      <w:r>
        <w:t>1.3 Stage 1 outcomes</w:t>
      </w:r>
    </w:p>
    <w:p>
      <w:pPr>
        <w:pStyle w:val="ListBullet"/>
      </w:pPr>
      <w:r>
        <w:t>A visitor can understand BBW, ask a limited public-preview question, scan current news, and register.</w:t>
      </w:r>
    </w:p>
    <w:p>
      <w:pPr>
        <w:pStyle w:val="ListBullet"/>
      </w:pPr>
      <w:r>
        <w:t>Each member selects exactly one primary type at onboarding: Founder, Service Provider, or VC.</w:t>
      </w:r>
    </w:p>
    <w:p>
      <w:pPr>
        <w:pStyle w:val="ListBullet"/>
      </w:pPr>
      <w:r>
        <w:t>Each member receives a tailored dashboard and can maintain a structured organization profile.</w:t>
      </w:r>
    </w:p>
    <w:p>
      <w:pPr>
        <w:pStyle w:val="ListBullet"/>
      </w:pPr>
      <w:r>
        <w:t>Founders can maintain company status and create controlled company snapshots for selected VCs.</w:t>
      </w:r>
    </w:p>
    <w:p>
      <w:pPr>
        <w:pStyle w:val="ListBullet"/>
      </w:pPr>
      <w:r>
        <w:t>Members can use a topic-guided AI assistant, read curated news, and discover relevant ecosystem participants.</w:t>
      </w:r>
    </w:p>
    <w:p>
      <w:pPr>
        <w:pStyle w:val="ListBullet"/>
      </w:pPr>
      <w:r>
        <w:t>BBW management can administer users and content, monitor usage, and understand third-party operating costs from a separate application.</w:t>
      </w:r>
    </w:p>
    <w:p>
      <w:pPr>
        <w:pStyle w:val="Heading2"/>
        <w:keepNext/>
      </w:pPr>
      <w:r>
        <w:t>1.4 Scope boundary and change control</w:t>
      </w:r>
    </w:p>
    <w:p>
      <w:pPr>
        <w:spacing w:after="120"/>
      </w:pPr>
      <w:r>
        <w:rPr>
          <w:rFonts w:ascii="Aptos" w:hAnsi="Aptos"/>
          <w:b w:val="0"/>
          <w:i w:val="0"/>
          <w:color w:val="202A33"/>
          <w:sz w:val="21"/>
        </w:rPr>
        <w:t>The original concise SOW describes a founder-centered MVP with six modules. The Service Provider account, VC account, controlled company snapshot, and operational cost center are new requirements. They are included in this product specification because they are necessary for the requested public product, but the parties should confirm schedule and budget impact before implementation begins.</w:t>
      </w:r>
    </w:p>
    <w:tbl>
      <w:tblPr>
        <w:tblStyle w:val="TableGrid"/>
        <w:tblW w:type="dxa" w:w="9360"/>
        <w:tblLayout w:type="fixed"/>
        <w:tblLook w:firstColumn="1" w:firstRow="1" w:lastColumn="0" w:lastRow="0" w:noHBand="0" w:noVBand="1" w:val="04A0"/>
        <w:jc w:val="left"/>
        <w:tblInd w:w="0" w:type="dxa"/>
      </w:tblPr>
      <w:tblGrid>
        <w:gridCol w:w="4680"/>
        <w:gridCol w:w="4680"/>
      </w:tblGrid>
      <w:tr>
        <w:trPr>
          <w:tblHeader w:val="true"/>
          <w:cantSplit/>
        </w:trPr>
        <w:tc>
          <w:tcPr>
            <w:tcW w:type="dxa" w:w="4680"/>
            <w:tcMar>
              <w:top w:w="90" w:type="dxa"/>
              <w:start w:w="110" w:type="dxa"/>
              <w:bottom w:w="90" w:type="dxa"/>
              <w:end w:w="110" w:type="dxa"/>
            </w:tcMar>
            <w:vAlign w:val="center"/>
            <w:shd w:fill="17324D"/>
          </w:tcPr>
          <w:p>
            <w:r>
              <w:rPr>
                <w:rFonts w:ascii="Aptos" w:hAnsi="Aptos"/>
                <w:b/>
                <w:color w:val="FFFFFF"/>
                <w:sz w:val="18"/>
              </w:rPr>
              <w:t>Included in Stage 1</w:t>
            </w:r>
          </w:p>
        </w:tc>
        <w:tc>
          <w:tcPr>
            <w:tcW w:type="dxa" w:w="4680"/>
            <w:tcMar>
              <w:top w:w="90" w:type="dxa"/>
              <w:start w:w="110" w:type="dxa"/>
              <w:bottom w:w="90" w:type="dxa"/>
              <w:end w:w="110" w:type="dxa"/>
            </w:tcMar>
            <w:vAlign w:val="center"/>
            <w:shd w:fill="17324D"/>
          </w:tcPr>
          <w:p>
            <w:r>
              <w:rPr>
                <w:rFonts w:ascii="Aptos" w:hAnsi="Aptos"/>
                <w:b/>
                <w:color w:val="FFFFFF"/>
                <w:sz w:val="18"/>
              </w:rPr>
              <w:t>Deferred beyond Stage 1</w:t>
            </w:r>
          </w:p>
        </w:tc>
      </w:tr>
      <w:tr>
        <w:trPr>
          <w:cantSplit/>
        </w:trPr>
        <w:tc>
          <w:tcPr>
            <w:tcW w:type="dxa" w:w="4680"/>
            <w:tcMar>
              <w:top w:w="90" w:type="dxa"/>
              <w:start w:w="110" w:type="dxa"/>
              <w:bottom w:w="90" w:type="dxa"/>
              <w:end w:w="110" w:type="dxa"/>
            </w:tcMar>
            <w:vAlign w:val="center"/>
          </w:tcPr>
          <w:p>
            <w:pPr>
              <w:spacing w:after="20" w:line="240" w:lineRule="auto"/>
            </w:pPr>
            <w:r>
              <w:rPr>
                <w:rFonts w:ascii="Aptos" w:hAnsi="Aptos"/>
                <w:color w:val="202A33"/>
                <w:sz w:val="18"/>
              </w:rPr>
              <w:t>Public chat preview; member authentication; three role-specific profiles and dashboards; company information/status; controlled VC snapshot; saved member chat; curated news; basic ecosystem directory; management console; usage/cost reporting; responsive and accessible UI.</w:t>
            </w:r>
          </w:p>
        </w:tc>
        <w:tc>
          <w:tcPr>
            <w:tcW w:type="dxa" w:w="4680"/>
            <w:tcMar>
              <w:top w:w="90" w:type="dxa"/>
              <w:start w:w="110" w:type="dxa"/>
              <w:bottom w:w="90" w:type="dxa"/>
              <w:end w:w="110" w:type="dxa"/>
            </w:tcMar>
            <w:vAlign w:val="center"/>
          </w:tcPr>
          <w:p>
            <w:pPr>
              <w:spacing w:after="20" w:line="240" w:lineRule="auto"/>
            </w:pPr>
            <w:r>
              <w:rPr>
                <w:rFonts w:ascii="Aptos" w:hAnsi="Aptos"/>
                <w:color w:val="202A33"/>
                <w:sz w:val="18"/>
              </w:rPr>
              <w:t>Payments to members; marketplace transactions; automated investor matching/scoring; document ingestion/RAG; native mobile apps; multi-language; advanced CRM; private model hosting; full subscription billing; regulatory filing workflows.</w:t>
            </w:r>
          </w:p>
        </w:tc>
      </w:tr>
    </w:tbl>
    <w:p>
      <w:pPr>
        <w:spacing w:after="20"/>
      </w:pPr>
    </w:p>
    <w:p>
      <w:pPr>
        <w:pStyle w:val="Heading1"/>
        <w:keepNext/>
      </w:pPr>
      <w:r>
        <w:t>2. Users, permissions, and tenancy</w:t>
      </w:r>
    </w:p>
    <w:p>
      <w:pPr>
        <w:pStyle w:val="Heading2"/>
        <w:keepNext/>
      </w:pPr>
      <w:r>
        <w:t>2.1 Actor model</w:t>
      </w:r>
    </w:p>
    <w:tbl>
      <w:tblPr>
        <w:tblStyle w:val="TableGrid"/>
        <w:tblW w:type="dxa" w:w="9360"/>
        <w:tblLayout w:type="fixed"/>
        <w:tblLook w:firstColumn="1" w:firstRow="1" w:lastColumn="0" w:lastRow="0" w:noHBand="0" w:noVBand="1" w:val="04A0"/>
        <w:jc w:val="left"/>
        <w:tblInd w:w="0" w:type="dxa"/>
      </w:tblPr>
      <w:tblGrid>
        <w:gridCol w:w="1300"/>
        <w:gridCol w:w="2450"/>
        <w:gridCol w:w="5610"/>
      </w:tblGrid>
      <w:tr>
        <w:trPr>
          <w:tblHeader w:val="true"/>
          <w:cantSplit/>
        </w:trPr>
        <w:tc>
          <w:tcPr>
            <w:tcW w:type="dxa" w:w="1300"/>
            <w:tcMar>
              <w:top w:w="90" w:type="dxa"/>
              <w:start w:w="110" w:type="dxa"/>
              <w:bottom w:w="90" w:type="dxa"/>
              <w:end w:w="110" w:type="dxa"/>
            </w:tcMar>
            <w:vAlign w:val="center"/>
            <w:shd w:fill="17324D"/>
          </w:tcPr>
          <w:p>
            <w:r>
              <w:rPr>
                <w:rFonts w:ascii="Aptos" w:hAnsi="Aptos"/>
                <w:b/>
                <w:color w:val="FFFFFF"/>
                <w:sz w:val="17"/>
              </w:rPr>
              <w:t>Actor</w:t>
            </w:r>
          </w:p>
        </w:tc>
        <w:tc>
          <w:tcPr>
            <w:tcW w:type="dxa" w:w="2450"/>
            <w:tcMar>
              <w:top w:w="90" w:type="dxa"/>
              <w:start w:w="110" w:type="dxa"/>
              <w:bottom w:w="90" w:type="dxa"/>
              <w:end w:w="110" w:type="dxa"/>
            </w:tcMar>
            <w:vAlign w:val="center"/>
            <w:shd w:fill="17324D"/>
          </w:tcPr>
          <w:p>
            <w:r>
              <w:rPr>
                <w:rFonts w:ascii="Aptos" w:hAnsi="Aptos"/>
                <w:b/>
                <w:color w:val="FFFFFF"/>
                <w:sz w:val="17"/>
              </w:rPr>
              <w:t>Purpose</w:t>
            </w:r>
          </w:p>
        </w:tc>
        <w:tc>
          <w:tcPr>
            <w:tcW w:type="dxa" w:w="5610"/>
            <w:tcMar>
              <w:top w:w="90" w:type="dxa"/>
              <w:start w:w="110" w:type="dxa"/>
              <w:bottom w:w="90" w:type="dxa"/>
              <w:end w:w="110" w:type="dxa"/>
            </w:tcMar>
            <w:vAlign w:val="center"/>
            <w:shd w:fill="17324D"/>
          </w:tcPr>
          <w:p>
            <w:r>
              <w:rPr>
                <w:rFonts w:ascii="Aptos" w:hAnsi="Aptos"/>
                <w:b/>
                <w:color w:val="FFFFFF"/>
                <w:sz w:val="17"/>
              </w:rPr>
              <w:t>Stage 1 capabilities</w:t>
            </w:r>
          </w:p>
        </w:tc>
      </w:tr>
      <w:tr>
        <w:trPr>
          <w:cantSplit/>
        </w:trPr>
        <w:tc>
          <w:tcPr>
            <w:tcW w:type="dxa" w:w="1300"/>
            <w:tcMar>
              <w:top w:w="90" w:type="dxa"/>
              <w:start w:w="110" w:type="dxa"/>
              <w:bottom w:w="90" w:type="dxa"/>
              <w:end w:w="110" w:type="dxa"/>
            </w:tcMar>
            <w:vAlign w:val="center"/>
          </w:tcPr>
          <w:p>
            <w:pPr>
              <w:spacing w:after="20" w:line="240" w:lineRule="auto"/>
            </w:pPr>
            <w:r>
              <w:rPr>
                <w:rFonts w:ascii="Aptos" w:hAnsi="Aptos"/>
                <w:color w:val="202A33"/>
                <w:sz w:val="17"/>
              </w:rPr>
              <w:t>Visitor</w:t>
            </w:r>
          </w:p>
        </w:tc>
        <w:tc>
          <w:tcPr>
            <w:tcW w:type="dxa" w:w="2450"/>
            <w:tcMar>
              <w:top w:w="90" w:type="dxa"/>
              <w:start w:w="110" w:type="dxa"/>
              <w:bottom w:w="90" w:type="dxa"/>
              <w:end w:w="110" w:type="dxa"/>
            </w:tcMar>
            <w:vAlign w:val="center"/>
          </w:tcPr>
          <w:p>
            <w:pPr>
              <w:spacing w:after="20" w:line="240" w:lineRule="auto"/>
            </w:pPr>
            <w:r>
              <w:rPr>
                <w:rFonts w:ascii="Aptos" w:hAnsi="Aptos"/>
                <w:color w:val="202A33"/>
                <w:sz w:val="17"/>
              </w:rPr>
              <w:t>Evaluate BBW before joining.</w:t>
            </w:r>
          </w:p>
        </w:tc>
        <w:tc>
          <w:tcPr>
            <w:tcW w:type="dxa" w:w="5610"/>
            <w:tcMar>
              <w:top w:w="90" w:type="dxa"/>
              <w:start w:w="110" w:type="dxa"/>
              <w:bottom w:w="90" w:type="dxa"/>
              <w:end w:w="110" w:type="dxa"/>
            </w:tcMar>
            <w:vAlign w:val="center"/>
          </w:tcPr>
          <w:p>
            <w:pPr>
              <w:spacing w:after="20" w:line="240" w:lineRule="auto"/>
            </w:pPr>
            <w:r>
              <w:rPr>
                <w:rFonts w:ascii="Aptos" w:hAnsi="Aptos"/>
                <w:color w:val="202A33"/>
                <w:sz w:val="17"/>
              </w:rPr>
              <w:t>Use limited anonymous chat preview; read public news; view platform introduction and public directory previews; register/sign in.</w:t>
            </w:r>
          </w:p>
        </w:tc>
      </w:tr>
      <w:tr>
        <w:trPr>
          <w:cantSplit/>
        </w:trPr>
        <w:tc>
          <w:tcPr>
            <w:tcW w:type="dxa" w:w="1300"/>
            <w:shd w:fill="FAFBFC"/>
            <w:tcMar>
              <w:top w:w="90" w:type="dxa"/>
              <w:start w:w="110" w:type="dxa"/>
              <w:bottom w:w="90" w:type="dxa"/>
              <w:end w:w="110" w:type="dxa"/>
            </w:tcMar>
            <w:vAlign w:val="center"/>
          </w:tcPr>
          <w:p>
            <w:pPr>
              <w:spacing w:after="20" w:line="240" w:lineRule="auto"/>
            </w:pPr>
            <w:r>
              <w:rPr>
                <w:rFonts w:ascii="Aptos" w:hAnsi="Aptos"/>
                <w:color w:val="202A33"/>
                <w:sz w:val="17"/>
              </w:rPr>
              <w:t>Founder</w:t>
            </w:r>
          </w:p>
        </w:tc>
        <w:tc>
          <w:tcPr>
            <w:tcW w:type="dxa" w:w="2450"/>
            <w:shd w:fill="FAFBFC"/>
            <w:tcMar>
              <w:top w:w="90" w:type="dxa"/>
              <w:start w:w="110" w:type="dxa"/>
              <w:bottom w:w="90" w:type="dxa"/>
              <w:end w:w="110" w:type="dxa"/>
            </w:tcMar>
            <w:vAlign w:val="center"/>
          </w:tcPr>
          <w:p>
            <w:pPr>
              <w:spacing w:after="20" w:line="240" w:lineRule="auto"/>
            </w:pPr>
            <w:r>
              <w:rPr>
                <w:rFonts w:ascii="Aptos" w:hAnsi="Aptos"/>
                <w:color w:val="202A33"/>
                <w:sz w:val="17"/>
              </w:rPr>
              <w:t>Build and present a startup.</w:t>
            </w:r>
          </w:p>
        </w:tc>
        <w:tc>
          <w:tcPr>
            <w:tcW w:type="dxa" w:w="5610"/>
            <w:shd w:fill="FAFBFC"/>
            <w:tcMar>
              <w:top w:w="90" w:type="dxa"/>
              <w:start w:w="110" w:type="dxa"/>
              <w:bottom w:w="90" w:type="dxa"/>
              <w:end w:w="110" w:type="dxa"/>
            </w:tcMar>
            <w:vAlign w:val="center"/>
          </w:tcPr>
          <w:p>
            <w:pPr>
              <w:spacing w:after="20" w:line="240" w:lineRule="auto"/>
            </w:pPr>
            <w:r>
              <w:rPr>
                <w:rFonts w:ascii="Aptos" w:hAnsi="Aptos"/>
                <w:color w:val="202A33"/>
                <w:sz w:val="17"/>
              </w:rPr>
              <w:t>Manage startup profile/status; use context-aware assistant; read news; discover providers/VCs; join communities; publish/revoke company snapshots.</w:t>
            </w:r>
          </w:p>
        </w:tc>
      </w:tr>
      <w:tr>
        <w:trPr>
          <w:cantSplit/>
        </w:trPr>
        <w:tc>
          <w:tcPr>
            <w:tcW w:type="dxa" w:w="1300"/>
            <w:tcMar>
              <w:top w:w="90" w:type="dxa"/>
              <w:start w:w="110" w:type="dxa"/>
              <w:bottom w:w="90" w:type="dxa"/>
              <w:end w:w="110" w:type="dxa"/>
            </w:tcMar>
            <w:vAlign w:val="center"/>
          </w:tcPr>
          <w:p>
            <w:pPr>
              <w:spacing w:after="20" w:line="240" w:lineRule="auto"/>
            </w:pPr>
            <w:r>
              <w:rPr>
                <w:rFonts w:ascii="Aptos" w:hAnsi="Aptos"/>
                <w:color w:val="202A33"/>
                <w:sz w:val="17"/>
              </w:rPr>
              <w:t>Service Provider</w:t>
            </w:r>
          </w:p>
        </w:tc>
        <w:tc>
          <w:tcPr>
            <w:tcW w:type="dxa" w:w="2450"/>
            <w:tcMar>
              <w:top w:w="90" w:type="dxa"/>
              <w:start w:w="110" w:type="dxa"/>
              <w:bottom w:w="90" w:type="dxa"/>
              <w:end w:w="110" w:type="dxa"/>
            </w:tcMar>
            <w:vAlign w:val="center"/>
          </w:tcPr>
          <w:p>
            <w:pPr>
              <w:spacing w:after="20" w:line="240" w:lineRule="auto"/>
            </w:pPr>
            <w:r>
              <w:rPr>
                <w:rFonts w:ascii="Aptos" w:hAnsi="Aptos"/>
                <w:color w:val="202A33"/>
                <w:sz w:val="17"/>
              </w:rPr>
              <w:t>Present expertise and support startups.</w:t>
            </w:r>
          </w:p>
        </w:tc>
        <w:tc>
          <w:tcPr>
            <w:tcW w:type="dxa" w:w="5610"/>
            <w:tcMar>
              <w:top w:w="90" w:type="dxa"/>
              <w:start w:w="110" w:type="dxa"/>
              <w:bottom w:w="90" w:type="dxa"/>
              <w:end w:w="110" w:type="dxa"/>
            </w:tcMar>
            <w:vAlign w:val="center"/>
          </w:tcPr>
          <w:p>
            <w:pPr>
              <w:spacing w:after="20" w:line="240" w:lineRule="auto"/>
            </w:pPr>
            <w:r>
              <w:rPr>
                <w:rFonts w:ascii="Aptos" w:hAnsi="Aptos"/>
                <w:color w:val="202A33"/>
                <w:sz w:val="17"/>
              </w:rPr>
              <w:t>Manage provider profile, specialties and availability; use assistant/news; discover founders and communities; receive contact requests.</w:t>
            </w:r>
          </w:p>
        </w:tc>
      </w:tr>
      <w:tr>
        <w:trPr>
          <w:cantSplit/>
        </w:trPr>
        <w:tc>
          <w:tcPr>
            <w:tcW w:type="dxa" w:w="1300"/>
            <w:shd w:fill="FAFBFC"/>
            <w:tcMar>
              <w:top w:w="90" w:type="dxa"/>
              <w:start w:w="110" w:type="dxa"/>
              <w:bottom w:w="90" w:type="dxa"/>
              <w:end w:w="110" w:type="dxa"/>
            </w:tcMar>
            <w:vAlign w:val="center"/>
          </w:tcPr>
          <w:p>
            <w:pPr>
              <w:spacing w:after="20" w:line="240" w:lineRule="auto"/>
            </w:pPr>
            <w:r>
              <w:rPr>
                <w:rFonts w:ascii="Aptos" w:hAnsi="Aptos"/>
                <w:color w:val="202A33"/>
                <w:sz w:val="17"/>
              </w:rPr>
              <w:t>VC</w:t>
            </w:r>
          </w:p>
        </w:tc>
        <w:tc>
          <w:tcPr>
            <w:tcW w:type="dxa" w:w="2450"/>
            <w:shd w:fill="FAFBFC"/>
            <w:tcMar>
              <w:top w:w="90" w:type="dxa"/>
              <w:start w:w="110" w:type="dxa"/>
              <w:bottom w:w="90" w:type="dxa"/>
              <w:end w:w="110" w:type="dxa"/>
            </w:tcMar>
            <w:vAlign w:val="center"/>
          </w:tcPr>
          <w:p>
            <w:pPr>
              <w:spacing w:after="20" w:line="240" w:lineRule="auto"/>
            </w:pPr>
            <w:r>
              <w:rPr>
                <w:rFonts w:ascii="Aptos" w:hAnsi="Aptos"/>
                <w:color w:val="202A33"/>
                <w:sz w:val="17"/>
              </w:rPr>
              <w:t>Discover and evaluate opportunities with consent.</w:t>
            </w:r>
          </w:p>
        </w:tc>
        <w:tc>
          <w:tcPr>
            <w:tcW w:type="dxa" w:w="5610"/>
            <w:shd w:fill="FAFBFC"/>
            <w:tcMar>
              <w:top w:w="90" w:type="dxa"/>
              <w:start w:w="110" w:type="dxa"/>
              <w:bottom w:w="90" w:type="dxa"/>
              <w:end w:w="110" w:type="dxa"/>
            </w:tcMar>
            <w:vAlign w:val="center"/>
          </w:tcPr>
          <w:p>
            <w:pPr>
              <w:spacing w:after="20" w:line="240" w:lineRule="auto"/>
            </w:pPr>
            <w:r>
              <w:rPr>
                <w:rFonts w:ascii="Aptos" w:hAnsi="Aptos"/>
                <w:color w:val="202A33"/>
                <w:sz w:val="17"/>
              </w:rPr>
              <w:t>Manage fund profile and investment preferences; use assistant/news; discover ecosystem; view only startup snapshots explicitly shared to the VC.</w:t>
            </w:r>
          </w:p>
        </w:tc>
      </w:tr>
      <w:tr>
        <w:trPr>
          <w:cantSplit/>
        </w:trPr>
        <w:tc>
          <w:tcPr>
            <w:tcW w:type="dxa" w:w="1300"/>
            <w:tcMar>
              <w:top w:w="90" w:type="dxa"/>
              <w:start w:w="110" w:type="dxa"/>
              <w:bottom w:w="90" w:type="dxa"/>
              <w:end w:w="110" w:type="dxa"/>
            </w:tcMar>
            <w:vAlign w:val="center"/>
          </w:tcPr>
          <w:p>
            <w:pPr>
              <w:spacing w:after="20" w:line="240" w:lineRule="auto"/>
            </w:pPr>
            <w:r>
              <w:rPr>
                <w:rFonts w:ascii="Aptos" w:hAnsi="Aptos"/>
                <w:color w:val="202A33"/>
                <w:sz w:val="17"/>
              </w:rPr>
              <w:t>Management user</w:t>
            </w:r>
          </w:p>
        </w:tc>
        <w:tc>
          <w:tcPr>
            <w:tcW w:type="dxa" w:w="2450"/>
            <w:tcMar>
              <w:top w:w="90" w:type="dxa"/>
              <w:start w:w="110" w:type="dxa"/>
              <w:bottom w:w="90" w:type="dxa"/>
              <w:end w:w="110" w:type="dxa"/>
            </w:tcMar>
            <w:vAlign w:val="center"/>
          </w:tcPr>
          <w:p>
            <w:pPr>
              <w:spacing w:after="20" w:line="240" w:lineRule="auto"/>
            </w:pPr>
            <w:r>
              <w:rPr>
                <w:rFonts w:ascii="Aptos" w:hAnsi="Aptos"/>
                <w:color w:val="202A33"/>
                <w:sz w:val="17"/>
              </w:rPr>
              <w:t>Operate BBW; not a member persona.</w:t>
            </w:r>
          </w:p>
        </w:tc>
        <w:tc>
          <w:tcPr>
            <w:tcW w:type="dxa" w:w="5610"/>
            <w:tcMar>
              <w:top w:w="90" w:type="dxa"/>
              <w:start w:w="110" w:type="dxa"/>
              <w:bottom w:w="90" w:type="dxa"/>
              <w:end w:w="110" w:type="dxa"/>
            </w:tcMar>
            <w:vAlign w:val="center"/>
          </w:tcPr>
          <w:p>
            <w:pPr>
              <w:spacing w:after="20" w:line="240" w:lineRule="auto"/>
            </w:pPr>
            <w:r>
              <w:rPr>
                <w:rFonts w:ascii="Aptos" w:hAnsi="Aptos"/>
                <w:color w:val="202A33"/>
                <w:sz w:val="17"/>
              </w:rPr>
              <w:t>Use separate admin app for user/content governance, configuration, usage/cost monitoring, audit, and support.</w:t>
            </w:r>
          </w:p>
        </w:tc>
      </w:tr>
    </w:tbl>
    <w:p>
      <w:pPr>
        <w:spacing w:after="20"/>
      </w:pPr>
    </w:p>
    <w:p>
      <w:pPr>
        <w:pStyle w:val="Heading2"/>
        <w:keepNext/>
      </w:pPr>
      <w:r>
        <w:t>2.2 Permission principles</w:t>
      </w:r>
    </w:p>
    <w:p>
      <w:pPr>
        <w:pStyle w:val="ListBullet"/>
      </w:pPr>
      <w:r>
        <w:t>Least privilege: a member cannot access another organization’s private profile fields or workspace records.</w:t>
      </w:r>
    </w:p>
    <w:p>
      <w:pPr>
        <w:pStyle w:val="ListBullet"/>
      </w:pPr>
      <w:r>
        <w:t>Explicit publishing: profile visibility is field-based; private is the default for sensitive company information.</w:t>
      </w:r>
    </w:p>
    <w:p>
      <w:pPr>
        <w:pStyle w:val="ListBullet"/>
      </w:pPr>
      <w:r>
        <w:t>No universal VC viewer: VC membership does not grant access to every startup’s detailed information.</w:t>
      </w:r>
    </w:p>
    <w:p>
      <w:pPr>
        <w:pStyle w:val="ListBullet"/>
      </w:pPr>
      <w:r>
        <w:t>Management separation: the admin application is not linked from member navigation and requires a management role plus stronger authentication.</w:t>
      </w:r>
    </w:p>
    <w:p>
      <w:pPr>
        <w:pStyle w:val="ListBullet"/>
      </w:pPr>
      <w:r>
        <w:t>Tenant ownership: every member record belongs to an organization tenant; all reads and writes enforce tenant and role policy server-side.</w:t>
      </w:r>
    </w:p>
    <w:p>
      <w:pPr>
        <w:pStyle w:val="Heading2"/>
        <w:keepNext/>
      </w:pPr>
      <w:r>
        <w:t>2.3 Access matrix</w:t>
      </w:r>
    </w:p>
    <w:tbl>
      <w:tblPr>
        <w:tblStyle w:val="TableGrid"/>
        <w:tblW w:type="dxa" w:w="9360"/>
        <w:tblLayout w:type="fixed"/>
        <w:tblLook w:firstColumn="1" w:firstRow="1" w:lastColumn="0" w:lastRow="0" w:noHBand="0" w:noVBand="1" w:val="04A0"/>
        <w:jc w:val="left"/>
        <w:tblInd w:w="0" w:type="dxa"/>
      </w:tblPr>
      <w:tblGrid>
        <w:gridCol w:w="2350"/>
        <w:gridCol w:w="950"/>
        <w:gridCol w:w="1100"/>
        <w:gridCol w:w="1100"/>
        <w:gridCol w:w="1050"/>
        <w:gridCol w:w="2810"/>
      </w:tblGrid>
      <w:tr>
        <w:trPr>
          <w:tblHeader w:val="true"/>
          <w:cantSplit/>
        </w:trPr>
        <w:tc>
          <w:tcPr>
            <w:tcW w:type="dxa" w:w="2350"/>
            <w:tcMar>
              <w:top w:w="90" w:type="dxa"/>
              <w:start w:w="110" w:type="dxa"/>
              <w:bottom w:w="90" w:type="dxa"/>
              <w:end w:w="110" w:type="dxa"/>
            </w:tcMar>
            <w:vAlign w:val="center"/>
            <w:shd w:fill="17324D"/>
          </w:tcPr>
          <w:p>
            <w:r>
              <w:rPr>
                <w:rFonts w:ascii="Aptos" w:hAnsi="Aptos"/>
                <w:b/>
                <w:color w:val="FFFFFF"/>
                <w:sz w:val="15"/>
              </w:rPr>
              <w:t>Capability</w:t>
            </w:r>
          </w:p>
        </w:tc>
        <w:tc>
          <w:tcPr>
            <w:tcW w:type="dxa" w:w="950"/>
            <w:tcMar>
              <w:top w:w="90" w:type="dxa"/>
              <w:start w:w="110" w:type="dxa"/>
              <w:bottom w:w="90" w:type="dxa"/>
              <w:end w:w="110" w:type="dxa"/>
            </w:tcMar>
            <w:vAlign w:val="center"/>
            <w:shd w:fill="17324D"/>
          </w:tcPr>
          <w:p>
            <w:r>
              <w:rPr>
                <w:rFonts w:ascii="Aptos" w:hAnsi="Aptos"/>
                <w:b/>
                <w:color w:val="FFFFFF"/>
                <w:sz w:val="15"/>
              </w:rPr>
              <w:t>Visitor</w:t>
            </w:r>
          </w:p>
        </w:tc>
        <w:tc>
          <w:tcPr>
            <w:tcW w:type="dxa" w:w="1100"/>
            <w:tcMar>
              <w:top w:w="90" w:type="dxa"/>
              <w:start w:w="110" w:type="dxa"/>
              <w:bottom w:w="90" w:type="dxa"/>
              <w:end w:w="110" w:type="dxa"/>
            </w:tcMar>
            <w:vAlign w:val="center"/>
            <w:shd w:fill="17324D"/>
          </w:tcPr>
          <w:p>
            <w:r>
              <w:rPr>
                <w:rFonts w:ascii="Aptos" w:hAnsi="Aptos"/>
                <w:b/>
                <w:color w:val="FFFFFF"/>
                <w:sz w:val="15"/>
              </w:rPr>
              <w:t>Founder</w:t>
            </w:r>
          </w:p>
        </w:tc>
        <w:tc>
          <w:tcPr>
            <w:tcW w:type="dxa" w:w="1100"/>
            <w:tcMar>
              <w:top w:w="90" w:type="dxa"/>
              <w:start w:w="110" w:type="dxa"/>
              <w:bottom w:w="90" w:type="dxa"/>
              <w:end w:w="110" w:type="dxa"/>
            </w:tcMar>
            <w:vAlign w:val="center"/>
            <w:shd w:fill="17324D"/>
          </w:tcPr>
          <w:p>
            <w:r>
              <w:rPr>
                <w:rFonts w:ascii="Aptos" w:hAnsi="Aptos"/>
                <w:b/>
                <w:color w:val="FFFFFF"/>
                <w:sz w:val="15"/>
              </w:rPr>
              <w:t>Provider</w:t>
            </w:r>
          </w:p>
        </w:tc>
        <w:tc>
          <w:tcPr>
            <w:tcW w:type="dxa" w:w="1050"/>
            <w:tcMar>
              <w:top w:w="90" w:type="dxa"/>
              <w:start w:w="110" w:type="dxa"/>
              <w:bottom w:w="90" w:type="dxa"/>
              <w:end w:w="110" w:type="dxa"/>
            </w:tcMar>
            <w:vAlign w:val="center"/>
            <w:shd w:fill="17324D"/>
          </w:tcPr>
          <w:p>
            <w:r>
              <w:rPr>
                <w:rFonts w:ascii="Aptos" w:hAnsi="Aptos"/>
                <w:b/>
                <w:color w:val="FFFFFF"/>
                <w:sz w:val="15"/>
              </w:rPr>
              <w:t>VC</w:t>
            </w:r>
          </w:p>
        </w:tc>
        <w:tc>
          <w:tcPr>
            <w:tcW w:type="dxa" w:w="2810"/>
            <w:tcMar>
              <w:top w:w="90" w:type="dxa"/>
              <w:start w:w="110" w:type="dxa"/>
              <w:bottom w:w="90" w:type="dxa"/>
              <w:end w:w="110" w:type="dxa"/>
            </w:tcMar>
            <w:vAlign w:val="center"/>
            <w:shd w:fill="17324D"/>
          </w:tcPr>
          <w:p>
            <w:r>
              <w:rPr>
                <w:rFonts w:ascii="Aptos" w:hAnsi="Aptos"/>
                <w:b/>
                <w:color w:val="FFFFFF"/>
                <w:sz w:val="15"/>
              </w:rPr>
              <w:t>Mgmt app</w:t>
            </w:r>
          </w:p>
        </w:tc>
      </w:tr>
      <w:tr>
        <w:trPr>
          <w:cantSplit/>
        </w:trPr>
        <w:tc>
          <w:tcPr>
            <w:tcW w:type="dxa" w:w="2350"/>
            <w:tcMar>
              <w:top w:w="90" w:type="dxa"/>
              <w:start w:w="110" w:type="dxa"/>
              <w:bottom w:w="90" w:type="dxa"/>
              <w:end w:w="110" w:type="dxa"/>
            </w:tcMar>
            <w:vAlign w:val="center"/>
          </w:tcPr>
          <w:p>
            <w:pPr>
              <w:spacing w:after="20" w:line="240" w:lineRule="auto"/>
            </w:pPr>
            <w:r>
              <w:rPr>
                <w:rFonts w:ascii="Aptos" w:hAnsi="Aptos"/>
                <w:color w:val="202A33"/>
                <w:sz w:val="15"/>
              </w:rPr>
              <w:t>Public chat preview</w:t>
            </w:r>
          </w:p>
        </w:tc>
        <w:tc>
          <w:tcPr>
            <w:tcW w:type="dxa" w:w="950"/>
            <w:tcMar>
              <w:top w:w="90" w:type="dxa"/>
              <w:start w:w="110" w:type="dxa"/>
              <w:bottom w:w="90" w:type="dxa"/>
              <w:end w:w="110" w:type="dxa"/>
            </w:tcMar>
            <w:vAlign w:val="center"/>
          </w:tcPr>
          <w:p>
            <w:pPr>
              <w:spacing w:after="20" w:line="240" w:lineRule="auto"/>
            </w:pPr>
            <w:r>
              <w:rPr>
                <w:rFonts w:ascii="Aptos" w:hAnsi="Aptos"/>
                <w:color w:val="202A33"/>
                <w:sz w:val="15"/>
              </w:rPr>
              <w:t>Limited</w:t>
            </w:r>
          </w:p>
        </w:tc>
        <w:tc>
          <w:tcPr>
            <w:tcW w:type="dxa" w:w="1100"/>
            <w:tcMar>
              <w:top w:w="90" w:type="dxa"/>
              <w:start w:w="110" w:type="dxa"/>
              <w:bottom w:w="90" w:type="dxa"/>
              <w:end w:w="110" w:type="dxa"/>
            </w:tcMar>
            <w:vAlign w:val="center"/>
          </w:tcPr>
          <w:p>
            <w:pPr>
              <w:spacing w:after="20" w:line="240" w:lineRule="auto"/>
            </w:pPr>
            <w:r>
              <w:rPr>
                <w:rFonts w:ascii="Aptos" w:hAnsi="Aptos"/>
                <w:color w:val="202A33"/>
                <w:sz w:val="15"/>
              </w:rPr>
              <w:t>Yes</w:t>
            </w:r>
          </w:p>
        </w:tc>
        <w:tc>
          <w:tcPr>
            <w:tcW w:type="dxa" w:w="1100"/>
            <w:tcMar>
              <w:top w:w="90" w:type="dxa"/>
              <w:start w:w="110" w:type="dxa"/>
              <w:bottom w:w="90" w:type="dxa"/>
              <w:end w:w="110" w:type="dxa"/>
            </w:tcMar>
            <w:vAlign w:val="center"/>
          </w:tcPr>
          <w:p>
            <w:pPr>
              <w:spacing w:after="20" w:line="240" w:lineRule="auto"/>
            </w:pPr>
            <w:r>
              <w:rPr>
                <w:rFonts w:ascii="Aptos" w:hAnsi="Aptos"/>
                <w:color w:val="202A33"/>
                <w:sz w:val="15"/>
              </w:rPr>
              <w:t>Yes</w:t>
            </w:r>
          </w:p>
        </w:tc>
        <w:tc>
          <w:tcPr>
            <w:tcW w:type="dxa" w:w="1050"/>
            <w:tcMar>
              <w:top w:w="90" w:type="dxa"/>
              <w:start w:w="110" w:type="dxa"/>
              <w:bottom w:w="90" w:type="dxa"/>
              <w:end w:w="110" w:type="dxa"/>
            </w:tcMar>
            <w:vAlign w:val="center"/>
          </w:tcPr>
          <w:p>
            <w:pPr>
              <w:spacing w:after="20" w:line="240" w:lineRule="auto"/>
            </w:pPr>
            <w:r>
              <w:rPr>
                <w:rFonts w:ascii="Aptos" w:hAnsi="Aptos"/>
                <w:color w:val="202A33"/>
                <w:sz w:val="15"/>
              </w:rPr>
              <w:t>Yes</w:t>
            </w:r>
          </w:p>
        </w:tc>
        <w:tc>
          <w:tcPr>
            <w:tcW w:type="dxa" w:w="2810"/>
            <w:tcMar>
              <w:top w:w="90" w:type="dxa"/>
              <w:start w:w="110" w:type="dxa"/>
              <w:bottom w:w="90" w:type="dxa"/>
              <w:end w:w="110" w:type="dxa"/>
            </w:tcMar>
            <w:vAlign w:val="center"/>
          </w:tcPr>
          <w:p>
            <w:pPr>
              <w:spacing w:after="20" w:line="240" w:lineRule="auto"/>
            </w:pPr>
            <w:r>
              <w:rPr>
                <w:rFonts w:ascii="Aptos" w:hAnsi="Aptos"/>
                <w:color w:val="202A33"/>
                <w:sz w:val="15"/>
              </w:rPr>
              <w:t>Configure</w:t>
            </w:r>
          </w:p>
        </w:tc>
      </w:tr>
      <w:tr>
        <w:trPr>
          <w:cantSplit/>
        </w:trPr>
        <w:tc>
          <w:tcPr>
            <w:tcW w:type="dxa" w:w="2350"/>
            <w:shd w:fill="FAFBFC"/>
            <w:tcMar>
              <w:top w:w="90" w:type="dxa"/>
              <w:start w:w="110" w:type="dxa"/>
              <w:bottom w:w="90" w:type="dxa"/>
              <w:end w:w="110" w:type="dxa"/>
            </w:tcMar>
            <w:vAlign w:val="center"/>
          </w:tcPr>
          <w:p>
            <w:pPr>
              <w:spacing w:after="20" w:line="240" w:lineRule="auto"/>
            </w:pPr>
            <w:r>
              <w:rPr>
                <w:rFonts w:ascii="Aptos" w:hAnsi="Aptos"/>
                <w:color w:val="202A33"/>
                <w:sz w:val="15"/>
              </w:rPr>
              <w:t>Saved chat/history</w:t>
            </w:r>
          </w:p>
        </w:tc>
        <w:tc>
          <w:tcPr>
            <w:tcW w:type="dxa" w:w="950"/>
            <w:shd w:fill="FAFBFC"/>
            <w:tcMar>
              <w:top w:w="90" w:type="dxa"/>
              <w:start w:w="110" w:type="dxa"/>
              <w:bottom w:w="90" w:type="dxa"/>
              <w:end w:w="110" w:type="dxa"/>
            </w:tcMar>
            <w:vAlign w:val="center"/>
          </w:tcPr>
          <w:p>
            <w:pPr>
              <w:spacing w:after="20" w:line="240" w:lineRule="auto"/>
            </w:pPr>
            <w:r>
              <w:rPr>
                <w:rFonts w:ascii="Aptos" w:hAnsi="Aptos"/>
                <w:color w:val="202A33"/>
                <w:sz w:val="15"/>
              </w:rPr>
              <w:t>—</w:t>
            </w:r>
          </w:p>
        </w:tc>
        <w:tc>
          <w:tcPr>
            <w:tcW w:type="dxa" w:w="1100"/>
            <w:shd w:fill="FAFBFC"/>
            <w:tcMar>
              <w:top w:w="90" w:type="dxa"/>
              <w:start w:w="110" w:type="dxa"/>
              <w:bottom w:w="90" w:type="dxa"/>
              <w:end w:w="110" w:type="dxa"/>
            </w:tcMar>
            <w:vAlign w:val="center"/>
          </w:tcPr>
          <w:p>
            <w:pPr>
              <w:spacing w:after="20" w:line="240" w:lineRule="auto"/>
            </w:pPr>
            <w:r>
              <w:rPr>
                <w:rFonts w:ascii="Aptos" w:hAnsi="Aptos"/>
                <w:color w:val="202A33"/>
                <w:sz w:val="15"/>
              </w:rPr>
              <w:t>Own</w:t>
            </w:r>
          </w:p>
        </w:tc>
        <w:tc>
          <w:tcPr>
            <w:tcW w:type="dxa" w:w="1100"/>
            <w:shd w:fill="FAFBFC"/>
            <w:tcMar>
              <w:top w:w="90" w:type="dxa"/>
              <w:start w:w="110" w:type="dxa"/>
              <w:bottom w:w="90" w:type="dxa"/>
              <w:end w:w="110" w:type="dxa"/>
            </w:tcMar>
            <w:vAlign w:val="center"/>
          </w:tcPr>
          <w:p>
            <w:pPr>
              <w:spacing w:after="20" w:line="240" w:lineRule="auto"/>
            </w:pPr>
            <w:r>
              <w:rPr>
                <w:rFonts w:ascii="Aptos" w:hAnsi="Aptos"/>
                <w:color w:val="202A33"/>
                <w:sz w:val="15"/>
              </w:rPr>
              <w:t>Own</w:t>
            </w:r>
          </w:p>
        </w:tc>
        <w:tc>
          <w:tcPr>
            <w:tcW w:type="dxa" w:w="1050"/>
            <w:shd w:fill="FAFBFC"/>
            <w:tcMar>
              <w:top w:w="90" w:type="dxa"/>
              <w:start w:w="110" w:type="dxa"/>
              <w:bottom w:w="90" w:type="dxa"/>
              <w:end w:w="110" w:type="dxa"/>
            </w:tcMar>
            <w:vAlign w:val="center"/>
          </w:tcPr>
          <w:p>
            <w:pPr>
              <w:spacing w:after="20" w:line="240" w:lineRule="auto"/>
            </w:pPr>
            <w:r>
              <w:rPr>
                <w:rFonts w:ascii="Aptos" w:hAnsi="Aptos"/>
                <w:color w:val="202A33"/>
                <w:sz w:val="15"/>
              </w:rPr>
              <w:t>Own</w:t>
            </w:r>
          </w:p>
        </w:tc>
        <w:tc>
          <w:tcPr>
            <w:tcW w:type="dxa" w:w="2810"/>
            <w:shd w:fill="FAFBFC"/>
            <w:tcMar>
              <w:top w:w="90" w:type="dxa"/>
              <w:start w:w="110" w:type="dxa"/>
              <w:bottom w:w="90" w:type="dxa"/>
              <w:end w:w="110" w:type="dxa"/>
            </w:tcMar>
            <w:vAlign w:val="center"/>
          </w:tcPr>
          <w:p>
            <w:pPr>
              <w:spacing w:after="20" w:line="240" w:lineRule="auto"/>
            </w:pPr>
            <w:r>
              <w:rPr>
                <w:rFonts w:ascii="Aptos" w:hAnsi="Aptos"/>
                <w:color w:val="202A33"/>
                <w:sz w:val="15"/>
              </w:rPr>
              <w:t>Metadata only</w:t>
            </w:r>
          </w:p>
        </w:tc>
      </w:tr>
      <w:tr>
        <w:trPr>
          <w:cantSplit/>
        </w:trPr>
        <w:tc>
          <w:tcPr>
            <w:tcW w:type="dxa" w:w="2350"/>
            <w:tcMar>
              <w:top w:w="90" w:type="dxa"/>
              <w:start w:w="110" w:type="dxa"/>
              <w:bottom w:w="90" w:type="dxa"/>
              <w:end w:w="110" w:type="dxa"/>
            </w:tcMar>
            <w:vAlign w:val="center"/>
          </w:tcPr>
          <w:p>
            <w:pPr>
              <w:spacing w:after="20" w:line="240" w:lineRule="auto"/>
            </w:pPr>
            <w:r>
              <w:rPr>
                <w:rFonts w:ascii="Aptos" w:hAnsi="Aptos"/>
                <w:color w:val="202A33"/>
                <w:sz w:val="15"/>
              </w:rPr>
              <w:t>Startup profile/status</w:t>
            </w:r>
          </w:p>
        </w:tc>
        <w:tc>
          <w:tcPr>
            <w:tcW w:type="dxa" w:w="950"/>
            <w:tcMar>
              <w:top w:w="90" w:type="dxa"/>
              <w:start w:w="110" w:type="dxa"/>
              <w:bottom w:w="90" w:type="dxa"/>
              <w:end w:w="110" w:type="dxa"/>
            </w:tcMar>
            <w:vAlign w:val="center"/>
          </w:tcPr>
          <w:p>
            <w:pPr>
              <w:spacing w:after="20" w:line="240" w:lineRule="auto"/>
            </w:pPr>
            <w:r>
              <w:rPr>
                <w:rFonts w:ascii="Aptos" w:hAnsi="Aptos"/>
                <w:color w:val="202A33"/>
                <w:sz w:val="15"/>
              </w:rPr>
              <w:t>—</w:t>
            </w:r>
          </w:p>
        </w:tc>
        <w:tc>
          <w:tcPr>
            <w:tcW w:type="dxa" w:w="1100"/>
            <w:tcMar>
              <w:top w:w="90" w:type="dxa"/>
              <w:start w:w="110" w:type="dxa"/>
              <w:bottom w:w="90" w:type="dxa"/>
              <w:end w:w="110" w:type="dxa"/>
            </w:tcMar>
            <w:vAlign w:val="center"/>
          </w:tcPr>
          <w:p>
            <w:pPr>
              <w:spacing w:after="20" w:line="240" w:lineRule="auto"/>
            </w:pPr>
            <w:r>
              <w:rPr>
                <w:rFonts w:ascii="Aptos" w:hAnsi="Aptos"/>
                <w:color w:val="202A33"/>
                <w:sz w:val="15"/>
              </w:rPr>
              <w:t>Own/edit</w:t>
            </w:r>
          </w:p>
        </w:tc>
        <w:tc>
          <w:tcPr>
            <w:tcW w:type="dxa" w:w="1100"/>
            <w:tcMar>
              <w:top w:w="90" w:type="dxa"/>
              <w:start w:w="110" w:type="dxa"/>
              <w:bottom w:w="90" w:type="dxa"/>
              <w:end w:w="110" w:type="dxa"/>
            </w:tcMar>
            <w:vAlign w:val="center"/>
          </w:tcPr>
          <w:p>
            <w:pPr>
              <w:spacing w:after="20" w:line="240" w:lineRule="auto"/>
            </w:pPr>
            <w:r>
              <w:rPr>
                <w:rFonts w:ascii="Aptos" w:hAnsi="Aptos"/>
                <w:color w:val="202A33"/>
                <w:sz w:val="15"/>
              </w:rPr>
              <w:t>Public only</w:t>
            </w:r>
          </w:p>
        </w:tc>
        <w:tc>
          <w:tcPr>
            <w:tcW w:type="dxa" w:w="1050"/>
            <w:tcMar>
              <w:top w:w="90" w:type="dxa"/>
              <w:start w:w="110" w:type="dxa"/>
              <w:bottom w:w="90" w:type="dxa"/>
              <w:end w:w="110" w:type="dxa"/>
            </w:tcMar>
            <w:vAlign w:val="center"/>
          </w:tcPr>
          <w:p>
            <w:pPr>
              <w:spacing w:after="20" w:line="240" w:lineRule="auto"/>
            </w:pPr>
            <w:r>
              <w:rPr>
                <w:rFonts w:ascii="Aptos" w:hAnsi="Aptos"/>
                <w:color w:val="202A33"/>
                <w:sz w:val="15"/>
              </w:rPr>
              <w:t>Shared/public only</w:t>
            </w:r>
          </w:p>
        </w:tc>
        <w:tc>
          <w:tcPr>
            <w:tcW w:type="dxa" w:w="2810"/>
            <w:tcMar>
              <w:top w:w="90" w:type="dxa"/>
              <w:start w:w="110" w:type="dxa"/>
              <w:bottom w:w="90" w:type="dxa"/>
              <w:end w:w="110" w:type="dxa"/>
            </w:tcMar>
            <w:vAlign w:val="center"/>
          </w:tcPr>
          <w:p>
            <w:pPr>
              <w:spacing w:after="20" w:line="240" w:lineRule="auto"/>
            </w:pPr>
            <w:r>
              <w:rPr>
                <w:rFonts w:ascii="Aptos" w:hAnsi="Aptos"/>
                <w:color w:val="202A33"/>
                <w:sz w:val="15"/>
              </w:rPr>
              <w:t>Moderate/support</w:t>
            </w:r>
          </w:p>
        </w:tc>
      </w:tr>
      <w:tr>
        <w:trPr>
          <w:cantSplit/>
        </w:trPr>
        <w:tc>
          <w:tcPr>
            <w:tcW w:type="dxa" w:w="2350"/>
            <w:shd w:fill="FAFBFC"/>
            <w:tcMar>
              <w:top w:w="90" w:type="dxa"/>
              <w:start w:w="110" w:type="dxa"/>
              <w:bottom w:w="90" w:type="dxa"/>
              <w:end w:w="110" w:type="dxa"/>
            </w:tcMar>
            <w:vAlign w:val="center"/>
          </w:tcPr>
          <w:p>
            <w:pPr>
              <w:spacing w:after="20" w:line="240" w:lineRule="auto"/>
            </w:pPr>
            <w:r>
              <w:rPr>
                <w:rFonts w:ascii="Aptos" w:hAnsi="Aptos"/>
                <w:color w:val="202A33"/>
                <w:sz w:val="15"/>
              </w:rPr>
              <w:t>Provider profile</w:t>
            </w:r>
          </w:p>
        </w:tc>
        <w:tc>
          <w:tcPr>
            <w:tcW w:type="dxa" w:w="950"/>
            <w:shd w:fill="FAFBFC"/>
            <w:tcMar>
              <w:top w:w="90" w:type="dxa"/>
              <w:start w:w="110" w:type="dxa"/>
              <w:bottom w:w="90" w:type="dxa"/>
              <w:end w:w="110" w:type="dxa"/>
            </w:tcMar>
            <w:vAlign w:val="center"/>
          </w:tcPr>
          <w:p>
            <w:pPr>
              <w:spacing w:after="20" w:line="240" w:lineRule="auto"/>
            </w:pPr>
            <w:r>
              <w:rPr>
                <w:rFonts w:ascii="Aptos" w:hAnsi="Aptos"/>
                <w:color w:val="202A33"/>
                <w:sz w:val="15"/>
              </w:rPr>
              <w:t>Preview</w:t>
            </w:r>
          </w:p>
        </w:tc>
        <w:tc>
          <w:tcPr>
            <w:tcW w:type="dxa" w:w="1100"/>
            <w:shd w:fill="FAFBFC"/>
            <w:tcMar>
              <w:top w:w="90" w:type="dxa"/>
              <w:start w:w="110" w:type="dxa"/>
              <w:bottom w:w="90" w:type="dxa"/>
              <w:end w:w="110" w:type="dxa"/>
            </w:tcMar>
            <w:vAlign w:val="center"/>
          </w:tcPr>
          <w:p>
            <w:pPr>
              <w:spacing w:after="20" w:line="240" w:lineRule="auto"/>
            </w:pPr>
            <w:r>
              <w:rPr>
                <w:rFonts w:ascii="Aptos" w:hAnsi="Aptos"/>
                <w:color w:val="202A33"/>
                <w:sz w:val="15"/>
              </w:rPr>
              <w:t>View</w:t>
            </w:r>
          </w:p>
        </w:tc>
        <w:tc>
          <w:tcPr>
            <w:tcW w:type="dxa" w:w="1100"/>
            <w:shd w:fill="FAFBFC"/>
            <w:tcMar>
              <w:top w:w="90" w:type="dxa"/>
              <w:start w:w="110" w:type="dxa"/>
              <w:bottom w:w="90" w:type="dxa"/>
              <w:end w:w="110" w:type="dxa"/>
            </w:tcMar>
            <w:vAlign w:val="center"/>
          </w:tcPr>
          <w:p>
            <w:pPr>
              <w:spacing w:after="20" w:line="240" w:lineRule="auto"/>
            </w:pPr>
            <w:r>
              <w:rPr>
                <w:rFonts w:ascii="Aptos" w:hAnsi="Aptos"/>
                <w:color w:val="202A33"/>
                <w:sz w:val="15"/>
              </w:rPr>
              <w:t>Own/edit</w:t>
            </w:r>
          </w:p>
        </w:tc>
        <w:tc>
          <w:tcPr>
            <w:tcW w:type="dxa" w:w="1050"/>
            <w:shd w:fill="FAFBFC"/>
            <w:tcMar>
              <w:top w:w="90" w:type="dxa"/>
              <w:start w:w="110" w:type="dxa"/>
              <w:bottom w:w="90" w:type="dxa"/>
              <w:end w:w="110" w:type="dxa"/>
            </w:tcMar>
            <w:vAlign w:val="center"/>
          </w:tcPr>
          <w:p>
            <w:pPr>
              <w:spacing w:after="20" w:line="240" w:lineRule="auto"/>
            </w:pPr>
            <w:r>
              <w:rPr>
                <w:rFonts w:ascii="Aptos" w:hAnsi="Aptos"/>
                <w:color w:val="202A33"/>
                <w:sz w:val="15"/>
              </w:rPr>
              <w:t>View</w:t>
            </w:r>
          </w:p>
        </w:tc>
        <w:tc>
          <w:tcPr>
            <w:tcW w:type="dxa" w:w="2810"/>
            <w:shd w:fill="FAFBFC"/>
            <w:tcMar>
              <w:top w:w="90" w:type="dxa"/>
              <w:start w:w="110" w:type="dxa"/>
              <w:bottom w:w="90" w:type="dxa"/>
              <w:end w:w="110" w:type="dxa"/>
            </w:tcMar>
            <w:vAlign w:val="center"/>
          </w:tcPr>
          <w:p>
            <w:pPr>
              <w:spacing w:after="20" w:line="240" w:lineRule="auto"/>
            </w:pPr>
            <w:r>
              <w:rPr>
                <w:rFonts w:ascii="Aptos" w:hAnsi="Aptos"/>
                <w:color w:val="202A33"/>
                <w:sz w:val="15"/>
              </w:rPr>
              <w:t>Moderate</w:t>
            </w:r>
          </w:p>
        </w:tc>
      </w:tr>
      <w:tr>
        <w:trPr>
          <w:cantSplit/>
        </w:trPr>
        <w:tc>
          <w:tcPr>
            <w:tcW w:type="dxa" w:w="2350"/>
            <w:tcMar>
              <w:top w:w="90" w:type="dxa"/>
              <w:start w:w="110" w:type="dxa"/>
              <w:bottom w:w="90" w:type="dxa"/>
              <w:end w:w="110" w:type="dxa"/>
            </w:tcMar>
            <w:vAlign w:val="center"/>
          </w:tcPr>
          <w:p>
            <w:pPr>
              <w:spacing w:after="20" w:line="240" w:lineRule="auto"/>
            </w:pPr>
            <w:r>
              <w:rPr>
                <w:rFonts w:ascii="Aptos" w:hAnsi="Aptos"/>
                <w:color w:val="202A33"/>
                <w:sz w:val="15"/>
              </w:rPr>
              <w:t>VC/fund profile</w:t>
            </w:r>
          </w:p>
        </w:tc>
        <w:tc>
          <w:tcPr>
            <w:tcW w:type="dxa" w:w="950"/>
            <w:tcMar>
              <w:top w:w="90" w:type="dxa"/>
              <w:start w:w="110" w:type="dxa"/>
              <w:bottom w:w="90" w:type="dxa"/>
              <w:end w:w="110" w:type="dxa"/>
            </w:tcMar>
            <w:vAlign w:val="center"/>
          </w:tcPr>
          <w:p>
            <w:pPr>
              <w:spacing w:after="20" w:line="240" w:lineRule="auto"/>
            </w:pPr>
            <w:r>
              <w:rPr>
                <w:rFonts w:ascii="Aptos" w:hAnsi="Aptos"/>
                <w:color w:val="202A33"/>
                <w:sz w:val="15"/>
              </w:rPr>
              <w:t>Preview</w:t>
            </w:r>
          </w:p>
        </w:tc>
        <w:tc>
          <w:tcPr>
            <w:tcW w:type="dxa" w:w="1100"/>
            <w:tcMar>
              <w:top w:w="90" w:type="dxa"/>
              <w:start w:w="110" w:type="dxa"/>
              <w:bottom w:w="90" w:type="dxa"/>
              <w:end w:w="110" w:type="dxa"/>
            </w:tcMar>
            <w:vAlign w:val="center"/>
          </w:tcPr>
          <w:p>
            <w:pPr>
              <w:spacing w:after="20" w:line="240" w:lineRule="auto"/>
            </w:pPr>
            <w:r>
              <w:rPr>
                <w:rFonts w:ascii="Aptos" w:hAnsi="Aptos"/>
                <w:color w:val="202A33"/>
                <w:sz w:val="15"/>
              </w:rPr>
              <w:t>View</w:t>
            </w:r>
          </w:p>
        </w:tc>
        <w:tc>
          <w:tcPr>
            <w:tcW w:type="dxa" w:w="1100"/>
            <w:tcMar>
              <w:top w:w="90" w:type="dxa"/>
              <w:start w:w="110" w:type="dxa"/>
              <w:bottom w:w="90" w:type="dxa"/>
              <w:end w:w="110" w:type="dxa"/>
            </w:tcMar>
            <w:vAlign w:val="center"/>
          </w:tcPr>
          <w:p>
            <w:pPr>
              <w:spacing w:after="20" w:line="240" w:lineRule="auto"/>
            </w:pPr>
            <w:r>
              <w:rPr>
                <w:rFonts w:ascii="Aptos" w:hAnsi="Aptos"/>
                <w:color w:val="202A33"/>
                <w:sz w:val="15"/>
              </w:rPr>
              <w:t>View</w:t>
            </w:r>
          </w:p>
        </w:tc>
        <w:tc>
          <w:tcPr>
            <w:tcW w:type="dxa" w:w="1050"/>
            <w:tcMar>
              <w:top w:w="90" w:type="dxa"/>
              <w:start w:w="110" w:type="dxa"/>
              <w:bottom w:w="90" w:type="dxa"/>
              <w:end w:w="110" w:type="dxa"/>
            </w:tcMar>
            <w:vAlign w:val="center"/>
          </w:tcPr>
          <w:p>
            <w:pPr>
              <w:spacing w:after="20" w:line="240" w:lineRule="auto"/>
            </w:pPr>
            <w:r>
              <w:rPr>
                <w:rFonts w:ascii="Aptos" w:hAnsi="Aptos"/>
                <w:color w:val="202A33"/>
                <w:sz w:val="15"/>
              </w:rPr>
              <w:t>Own/edit</w:t>
            </w:r>
          </w:p>
        </w:tc>
        <w:tc>
          <w:tcPr>
            <w:tcW w:type="dxa" w:w="2810"/>
            <w:tcMar>
              <w:top w:w="90" w:type="dxa"/>
              <w:start w:w="110" w:type="dxa"/>
              <w:bottom w:w="90" w:type="dxa"/>
              <w:end w:w="110" w:type="dxa"/>
            </w:tcMar>
            <w:vAlign w:val="center"/>
          </w:tcPr>
          <w:p>
            <w:pPr>
              <w:spacing w:after="20" w:line="240" w:lineRule="auto"/>
            </w:pPr>
            <w:r>
              <w:rPr>
                <w:rFonts w:ascii="Aptos" w:hAnsi="Aptos"/>
                <w:color w:val="202A33"/>
                <w:sz w:val="15"/>
              </w:rPr>
              <w:t>Moderate</w:t>
            </w:r>
          </w:p>
        </w:tc>
      </w:tr>
      <w:tr>
        <w:trPr>
          <w:cantSplit/>
        </w:trPr>
        <w:tc>
          <w:tcPr>
            <w:tcW w:type="dxa" w:w="2350"/>
            <w:shd w:fill="FAFBFC"/>
            <w:tcMar>
              <w:top w:w="90" w:type="dxa"/>
              <w:start w:w="110" w:type="dxa"/>
              <w:bottom w:w="90" w:type="dxa"/>
              <w:end w:w="110" w:type="dxa"/>
            </w:tcMar>
            <w:vAlign w:val="center"/>
          </w:tcPr>
          <w:p>
            <w:pPr>
              <w:spacing w:after="20" w:line="240" w:lineRule="auto"/>
            </w:pPr>
            <w:r>
              <w:rPr>
                <w:rFonts w:ascii="Aptos" w:hAnsi="Aptos"/>
                <w:color w:val="202A33"/>
                <w:sz w:val="15"/>
              </w:rPr>
              <w:t>Company snapshot</w:t>
            </w:r>
          </w:p>
        </w:tc>
        <w:tc>
          <w:tcPr>
            <w:tcW w:type="dxa" w:w="950"/>
            <w:shd w:fill="FAFBFC"/>
            <w:tcMar>
              <w:top w:w="90" w:type="dxa"/>
              <w:start w:w="110" w:type="dxa"/>
              <w:bottom w:w="90" w:type="dxa"/>
              <w:end w:w="110" w:type="dxa"/>
            </w:tcMar>
            <w:vAlign w:val="center"/>
          </w:tcPr>
          <w:p>
            <w:pPr>
              <w:spacing w:after="20" w:line="240" w:lineRule="auto"/>
            </w:pPr>
            <w:r>
              <w:rPr>
                <w:rFonts w:ascii="Aptos" w:hAnsi="Aptos"/>
                <w:color w:val="202A33"/>
                <w:sz w:val="15"/>
              </w:rPr>
              <w:t>Token view if invited</w:t>
            </w:r>
          </w:p>
        </w:tc>
        <w:tc>
          <w:tcPr>
            <w:tcW w:type="dxa" w:w="1100"/>
            <w:shd w:fill="FAFBFC"/>
            <w:tcMar>
              <w:top w:w="90" w:type="dxa"/>
              <w:start w:w="110" w:type="dxa"/>
              <w:bottom w:w="90" w:type="dxa"/>
              <w:end w:w="110" w:type="dxa"/>
            </w:tcMar>
            <w:vAlign w:val="center"/>
          </w:tcPr>
          <w:p>
            <w:pPr>
              <w:spacing w:after="20" w:line="240" w:lineRule="auto"/>
            </w:pPr>
            <w:r>
              <w:rPr>
                <w:rFonts w:ascii="Aptos" w:hAnsi="Aptos"/>
                <w:color w:val="202A33"/>
                <w:sz w:val="15"/>
              </w:rPr>
              <w:t>Create/revoke</w:t>
            </w:r>
          </w:p>
        </w:tc>
        <w:tc>
          <w:tcPr>
            <w:tcW w:type="dxa" w:w="1100"/>
            <w:shd w:fill="FAFBFC"/>
            <w:tcMar>
              <w:top w:w="90" w:type="dxa"/>
              <w:start w:w="110" w:type="dxa"/>
              <w:bottom w:w="90" w:type="dxa"/>
              <w:end w:w="110" w:type="dxa"/>
            </w:tcMar>
            <w:vAlign w:val="center"/>
          </w:tcPr>
          <w:p>
            <w:pPr>
              <w:spacing w:after="20" w:line="240" w:lineRule="auto"/>
            </w:pPr>
            <w:r>
              <w:rPr>
                <w:rFonts w:ascii="Aptos" w:hAnsi="Aptos"/>
                <w:color w:val="202A33"/>
                <w:sz w:val="15"/>
              </w:rPr>
              <w:t>Only if invited</w:t>
            </w:r>
          </w:p>
        </w:tc>
        <w:tc>
          <w:tcPr>
            <w:tcW w:type="dxa" w:w="1050"/>
            <w:shd w:fill="FAFBFC"/>
            <w:tcMar>
              <w:top w:w="90" w:type="dxa"/>
              <w:start w:w="110" w:type="dxa"/>
              <w:bottom w:w="90" w:type="dxa"/>
              <w:end w:w="110" w:type="dxa"/>
            </w:tcMar>
            <w:vAlign w:val="center"/>
          </w:tcPr>
          <w:p>
            <w:pPr>
              <w:spacing w:after="20" w:line="240" w:lineRule="auto"/>
            </w:pPr>
            <w:r>
              <w:rPr>
                <w:rFonts w:ascii="Aptos" w:hAnsi="Aptos"/>
                <w:color w:val="202A33"/>
                <w:sz w:val="15"/>
              </w:rPr>
              <w:t>Assigned/view</w:t>
            </w:r>
          </w:p>
        </w:tc>
        <w:tc>
          <w:tcPr>
            <w:tcW w:type="dxa" w:w="2810"/>
            <w:shd w:fill="FAFBFC"/>
            <w:tcMar>
              <w:top w:w="90" w:type="dxa"/>
              <w:start w:w="110" w:type="dxa"/>
              <w:bottom w:w="90" w:type="dxa"/>
              <w:end w:w="110" w:type="dxa"/>
            </w:tcMar>
            <w:vAlign w:val="center"/>
          </w:tcPr>
          <w:p>
            <w:pPr>
              <w:spacing w:after="20" w:line="240" w:lineRule="auto"/>
            </w:pPr>
            <w:r>
              <w:rPr>
                <w:rFonts w:ascii="Aptos" w:hAnsi="Aptos"/>
                <w:color w:val="202A33"/>
                <w:sz w:val="15"/>
              </w:rPr>
              <w:t>Create/revoke for support</w:t>
            </w:r>
          </w:p>
        </w:tc>
      </w:tr>
      <w:tr>
        <w:trPr>
          <w:cantSplit/>
        </w:trPr>
        <w:tc>
          <w:tcPr>
            <w:tcW w:type="dxa" w:w="2350"/>
            <w:tcMar>
              <w:top w:w="90" w:type="dxa"/>
              <w:start w:w="110" w:type="dxa"/>
              <w:bottom w:w="90" w:type="dxa"/>
              <w:end w:w="110" w:type="dxa"/>
            </w:tcMar>
            <w:vAlign w:val="center"/>
          </w:tcPr>
          <w:p>
            <w:pPr>
              <w:spacing w:after="20" w:line="240" w:lineRule="auto"/>
            </w:pPr>
            <w:r>
              <w:rPr>
                <w:rFonts w:ascii="Aptos" w:hAnsi="Aptos"/>
                <w:color w:val="202A33"/>
                <w:sz w:val="15"/>
              </w:rPr>
              <w:t>News/community</w:t>
            </w:r>
          </w:p>
        </w:tc>
        <w:tc>
          <w:tcPr>
            <w:tcW w:type="dxa" w:w="950"/>
            <w:tcMar>
              <w:top w:w="90" w:type="dxa"/>
              <w:start w:w="110" w:type="dxa"/>
              <w:bottom w:w="90" w:type="dxa"/>
              <w:end w:w="110" w:type="dxa"/>
            </w:tcMar>
            <w:vAlign w:val="center"/>
          </w:tcPr>
          <w:p>
            <w:pPr>
              <w:spacing w:after="20" w:line="240" w:lineRule="auto"/>
            </w:pPr>
            <w:r>
              <w:rPr>
                <w:rFonts w:ascii="Aptos" w:hAnsi="Aptos"/>
                <w:color w:val="202A33"/>
                <w:sz w:val="15"/>
              </w:rPr>
              <w:t>Public subset</w:t>
            </w:r>
          </w:p>
        </w:tc>
        <w:tc>
          <w:tcPr>
            <w:tcW w:type="dxa" w:w="1100"/>
            <w:tcMar>
              <w:top w:w="90" w:type="dxa"/>
              <w:start w:w="110" w:type="dxa"/>
              <w:bottom w:w="90" w:type="dxa"/>
              <w:end w:w="110" w:type="dxa"/>
            </w:tcMar>
            <w:vAlign w:val="center"/>
          </w:tcPr>
          <w:p>
            <w:pPr>
              <w:spacing w:after="20" w:line="240" w:lineRule="auto"/>
            </w:pPr>
            <w:r>
              <w:rPr>
                <w:rFonts w:ascii="Aptos" w:hAnsi="Aptos"/>
                <w:color w:val="202A33"/>
                <w:sz w:val="15"/>
              </w:rPr>
              <w:t>Member</w:t>
            </w:r>
          </w:p>
        </w:tc>
        <w:tc>
          <w:tcPr>
            <w:tcW w:type="dxa" w:w="1100"/>
            <w:tcMar>
              <w:top w:w="90" w:type="dxa"/>
              <w:start w:w="110" w:type="dxa"/>
              <w:bottom w:w="90" w:type="dxa"/>
              <w:end w:w="110" w:type="dxa"/>
            </w:tcMar>
            <w:vAlign w:val="center"/>
          </w:tcPr>
          <w:p>
            <w:pPr>
              <w:spacing w:after="20" w:line="240" w:lineRule="auto"/>
            </w:pPr>
            <w:r>
              <w:rPr>
                <w:rFonts w:ascii="Aptos" w:hAnsi="Aptos"/>
                <w:color w:val="202A33"/>
                <w:sz w:val="15"/>
              </w:rPr>
              <w:t>Member</w:t>
            </w:r>
          </w:p>
        </w:tc>
        <w:tc>
          <w:tcPr>
            <w:tcW w:type="dxa" w:w="1050"/>
            <w:tcMar>
              <w:top w:w="90" w:type="dxa"/>
              <w:start w:w="110" w:type="dxa"/>
              <w:bottom w:w="90" w:type="dxa"/>
              <w:end w:w="110" w:type="dxa"/>
            </w:tcMar>
            <w:vAlign w:val="center"/>
          </w:tcPr>
          <w:p>
            <w:pPr>
              <w:spacing w:after="20" w:line="240" w:lineRule="auto"/>
            </w:pPr>
            <w:r>
              <w:rPr>
                <w:rFonts w:ascii="Aptos" w:hAnsi="Aptos"/>
                <w:color w:val="202A33"/>
                <w:sz w:val="15"/>
              </w:rPr>
              <w:t>Member</w:t>
            </w:r>
          </w:p>
        </w:tc>
        <w:tc>
          <w:tcPr>
            <w:tcW w:type="dxa" w:w="2810"/>
            <w:tcMar>
              <w:top w:w="90" w:type="dxa"/>
              <w:start w:w="110" w:type="dxa"/>
              <w:bottom w:w="90" w:type="dxa"/>
              <w:end w:w="110" w:type="dxa"/>
            </w:tcMar>
            <w:vAlign w:val="center"/>
          </w:tcPr>
          <w:p>
            <w:pPr>
              <w:spacing w:after="20" w:line="240" w:lineRule="auto"/>
            </w:pPr>
            <w:r>
              <w:rPr>
                <w:rFonts w:ascii="Aptos" w:hAnsi="Aptos"/>
                <w:color w:val="202A33"/>
                <w:sz w:val="15"/>
              </w:rPr>
              <w:t>Manage</w:t>
            </w:r>
          </w:p>
        </w:tc>
      </w:tr>
      <w:tr>
        <w:trPr>
          <w:cantSplit/>
        </w:trPr>
        <w:tc>
          <w:tcPr>
            <w:tcW w:type="dxa" w:w="2350"/>
            <w:shd w:fill="FAFBFC"/>
            <w:tcMar>
              <w:top w:w="90" w:type="dxa"/>
              <w:start w:w="110" w:type="dxa"/>
              <w:bottom w:w="90" w:type="dxa"/>
              <w:end w:w="110" w:type="dxa"/>
            </w:tcMar>
            <w:vAlign w:val="center"/>
          </w:tcPr>
          <w:p>
            <w:pPr>
              <w:spacing w:after="20" w:line="240" w:lineRule="auto"/>
            </w:pPr>
            <w:r>
              <w:rPr>
                <w:rFonts w:ascii="Aptos" w:hAnsi="Aptos"/>
                <w:color w:val="202A33"/>
                <w:sz w:val="15"/>
              </w:rPr>
              <w:t>Usage and vendor cost</w:t>
            </w:r>
          </w:p>
        </w:tc>
        <w:tc>
          <w:tcPr>
            <w:tcW w:type="dxa" w:w="950"/>
            <w:shd w:fill="FAFBFC"/>
            <w:tcMar>
              <w:top w:w="90" w:type="dxa"/>
              <w:start w:w="110" w:type="dxa"/>
              <w:bottom w:w="90" w:type="dxa"/>
              <w:end w:w="110" w:type="dxa"/>
            </w:tcMar>
            <w:vAlign w:val="center"/>
          </w:tcPr>
          <w:p>
            <w:pPr>
              <w:spacing w:after="20" w:line="240" w:lineRule="auto"/>
            </w:pPr>
            <w:r>
              <w:rPr>
                <w:rFonts w:ascii="Aptos" w:hAnsi="Aptos"/>
                <w:color w:val="202A33"/>
                <w:sz w:val="15"/>
              </w:rPr>
              <w:t>—</w:t>
            </w:r>
          </w:p>
        </w:tc>
        <w:tc>
          <w:tcPr>
            <w:tcW w:type="dxa" w:w="1100"/>
            <w:shd w:fill="FAFBFC"/>
            <w:tcMar>
              <w:top w:w="90" w:type="dxa"/>
              <w:start w:w="110" w:type="dxa"/>
              <w:bottom w:w="90" w:type="dxa"/>
              <w:end w:w="110" w:type="dxa"/>
            </w:tcMar>
            <w:vAlign w:val="center"/>
          </w:tcPr>
          <w:p>
            <w:pPr>
              <w:spacing w:after="20" w:line="240" w:lineRule="auto"/>
            </w:pPr>
            <w:r>
              <w:rPr>
                <w:rFonts w:ascii="Aptos" w:hAnsi="Aptos"/>
                <w:color w:val="202A33"/>
                <w:sz w:val="15"/>
              </w:rPr>
              <w:t>Own usage summary</w:t>
            </w:r>
          </w:p>
        </w:tc>
        <w:tc>
          <w:tcPr>
            <w:tcW w:type="dxa" w:w="1100"/>
            <w:shd w:fill="FAFBFC"/>
            <w:tcMar>
              <w:top w:w="90" w:type="dxa"/>
              <w:start w:w="110" w:type="dxa"/>
              <w:bottom w:w="90" w:type="dxa"/>
              <w:end w:w="110" w:type="dxa"/>
            </w:tcMar>
            <w:vAlign w:val="center"/>
          </w:tcPr>
          <w:p>
            <w:pPr>
              <w:spacing w:after="20" w:line="240" w:lineRule="auto"/>
            </w:pPr>
            <w:r>
              <w:rPr>
                <w:rFonts w:ascii="Aptos" w:hAnsi="Aptos"/>
                <w:color w:val="202A33"/>
                <w:sz w:val="15"/>
              </w:rPr>
              <w:t>Own usage summary</w:t>
            </w:r>
          </w:p>
        </w:tc>
        <w:tc>
          <w:tcPr>
            <w:tcW w:type="dxa" w:w="1050"/>
            <w:shd w:fill="FAFBFC"/>
            <w:tcMar>
              <w:top w:w="90" w:type="dxa"/>
              <w:start w:w="110" w:type="dxa"/>
              <w:bottom w:w="90" w:type="dxa"/>
              <w:end w:w="110" w:type="dxa"/>
            </w:tcMar>
            <w:vAlign w:val="center"/>
          </w:tcPr>
          <w:p>
            <w:pPr>
              <w:spacing w:after="20" w:line="240" w:lineRule="auto"/>
            </w:pPr>
            <w:r>
              <w:rPr>
                <w:rFonts w:ascii="Aptos" w:hAnsi="Aptos"/>
                <w:color w:val="202A33"/>
                <w:sz w:val="15"/>
              </w:rPr>
              <w:t>Own usage summary</w:t>
            </w:r>
          </w:p>
        </w:tc>
        <w:tc>
          <w:tcPr>
            <w:tcW w:type="dxa" w:w="2810"/>
            <w:shd w:fill="FAFBFC"/>
            <w:tcMar>
              <w:top w:w="90" w:type="dxa"/>
              <w:start w:w="110" w:type="dxa"/>
              <w:bottom w:w="90" w:type="dxa"/>
              <w:end w:w="110" w:type="dxa"/>
            </w:tcMar>
            <w:vAlign w:val="center"/>
          </w:tcPr>
          <w:p>
            <w:pPr>
              <w:spacing w:after="20" w:line="240" w:lineRule="auto"/>
            </w:pPr>
            <w:r>
              <w:rPr>
                <w:rFonts w:ascii="Aptos" w:hAnsi="Aptos"/>
                <w:color w:val="202A33"/>
                <w:sz w:val="15"/>
              </w:rPr>
              <w:t>All/aggregate</w:t>
            </w:r>
          </w:p>
        </w:tc>
      </w:tr>
    </w:tbl>
    <w:p>
      <w:pPr>
        <w:spacing w:after="20"/>
      </w:pPr>
    </w:p>
    <w:p>
      <w:pPr>
        <w:pStyle w:val="Heading2"/>
        <w:keepNext/>
      </w:pPr>
      <w:r>
        <w:t>2.4 Organization and team model</w:t>
      </w:r>
    </w:p>
    <w:p>
      <w:pPr>
        <w:spacing w:after="120"/>
      </w:pPr>
      <w:r>
        <w:rPr>
          <w:rFonts w:ascii="Aptos" w:hAnsi="Aptos"/>
          <w:b w:val="0"/>
          <w:i w:val="0"/>
          <w:color w:val="202A33"/>
          <w:sz w:val="21"/>
        </w:rPr>
        <w:t>A registered account belongs to one primary organization type. Founders may invite teammates into the same startup organization; service providers and VCs may likewise invite organization teammates. Team members inherit the organization type but receive one of two workspace roles: Owner or Member. Only Owners can change organization visibility, publish snapshots, or manage invitations. Management accounts remain outside this tenant model.</w:t>
      </w:r>
    </w:p>
    <w:p>
      <w:pPr>
        <w:pStyle w:val="Heading1"/>
        <w:keepNext/>
      </w:pPr>
      <w:r>
        <w:t>3. Experience architecture and primary journeys</w:t>
      </w:r>
    </w:p>
    <w:p>
      <w:pPr>
        <w:pStyle w:val="Heading2"/>
        <w:keepNext/>
      </w:pPr>
      <w:r>
        <w:t>3.1 Product surfaces</w:t>
      </w:r>
    </w:p>
    <w:tbl>
      <w:tblPr>
        <w:tblStyle w:val="TableGrid"/>
        <w:tblW w:type="dxa" w:w="9360"/>
        <w:tblLayout w:type="fixed"/>
        <w:tblLook w:firstColumn="1" w:firstRow="1" w:lastColumn="0" w:lastRow="0" w:noHBand="0" w:noVBand="1" w:val="04A0"/>
        <w:jc w:val="left"/>
        <w:tblInd w:w="0" w:type="dxa"/>
      </w:tblPr>
      <w:tblGrid>
        <w:gridCol w:w="2200"/>
        <w:gridCol w:w="2350"/>
        <w:gridCol w:w="4810"/>
      </w:tblGrid>
      <w:tr>
        <w:trPr>
          <w:tblHeader w:val="true"/>
          <w:cantSplit/>
        </w:trPr>
        <w:tc>
          <w:tcPr>
            <w:tcW w:type="dxa" w:w="2200"/>
            <w:tcMar>
              <w:top w:w="90" w:type="dxa"/>
              <w:start w:w="110" w:type="dxa"/>
              <w:bottom w:w="90" w:type="dxa"/>
              <w:end w:w="110" w:type="dxa"/>
            </w:tcMar>
            <w:vAlign w:val="center"/>
            <w:shd w:fill="17324D"/>
          </w:tcPr>
          <w:p>
            <w:r>
              <w:rPr>
                <w:rFonts w:ascii="Aptos" w:hAnsi="Aptos"/>
                <w:b/>
                <w:color w:val="FFFFFF"/>
                <w:sz w:val="17"/>
              </w:rPr>
              <w:t>Surface</w:t>
            </w:r>
          </w:p>
        </w:tc>
        <w:tc>
          <w:tcPr>
            <w:tcW w:type="dxa" w:w="2350"/>
            <w:tcMar>
              <w:top w:w="90" w:type="dxa"/>
              <w:start w:w="110" w:type="dxa"/>
              <w:bottom w:w="90" w:type="dxa"/>
              <w:end w:w="110" w:type="dxa"/>
            </w:tcMar>
            <w:vAlign w:val="center"/>
            <w:shd w:fill="17324D"/>
          </w:tcPr>
          <w:p>
            <w:r>
              <w:rPr>
                <w:rFonts w:ascii="Aptos" w:hAnsi="Aptos"/>
                <w:b/>
                <w:color w:val="FFFFFF"/>
                <w:sz w:val="17"/>
              </w:rPr>
              <w:t>Audience</w:t>
            </w:r>
          </w:p>
        </w:tc>
        <w:tc>
          <w:tcPr>
            <w:tcW w:type="dxa" w:w="4810"/>
            <w:tcMar>
              <w:top w:w="90" w:type="dxa"/>
              <w:start w:w="110" w:type="dxa"/>
              <w:bottom w:w="90" w:type="dxa"/>
              <w:end w:w="110" w:type="dxa"/>
            </w:tcMar>
            <w:vAlign w:val="center"/>
            <w:shd w:fill="17324D"/>
          </w:tcPr>
          <w:p>
            <w:r>
              <w:rPr>
                <w:rFonts w:ascii="Aptos" w:hAnsi="Aptos"/>
                <w:b/>
                <w:color w:val="FFFFFF"/>
                <w:sz w:val="17"/>
              </w:rPr>
              <w:t>Recommended deployment</w:t>
            </w:r>
          </w:p>
        </w:tc>
      </w:tr>
      <w:tr>
        <w:trPr>
          <w:cantSplit/>
        </w:trPr>
        <w:tc>
          <w:tcPr>
            <w:tcW w:type="dxa" w:w="2200"/>
            <w:tcMar>
              <w:top w:w="90" w:type="dxa"/>
              <w:start w:w="110" w:type="dxa"/>
              <w:bottom w:w="90" w:type="dxa"/>
              <w:end w:w="110" w:type="dxa"/>
            </w:tcMar>
            <w:vAlign w:val="center"/>
          </w:tcPr>
          <w:p>
            <w:pPr>
              <w:spacing w:after="20" w:line="240" w:lineRule="auto"/>
            </w:pPr>
            <w:r>
              <w:rPr>
                <w:rFonts w:ascii="Aptos" w:hAnsi="Aptos"/>
                <w:color w:val="202A33"/>
                <w:sz w:val="17"/>
              </w:rPr>
              <w:t>Public + member platform</w:t>
            </w:r>
          </w:p>
        </w:tc>
        <w:tc>
          <w:tcPr>
            <w:tcW w:type="dxa" w:w="2350"/>
            <w:tcMar>
              <w:top w:w="90" w:type="dxa"/>
              <w:start w:w="110" w:type="dxa"/>
              <w:bottom w:w="90" w:type="dxa"/>
              <w:end w:w="110" w:type="dxa"/>
            </w:tcMar>
            <w:vAlign w:val="center"/>
          </w:tcPr>
          <w:p>
            <w:pPr>
              <w:spacing w:after="20" w:line="240" w:lineRule="auto"/>
            </w:pPr>
            <w:r>
              <w:rPr>
                <w:rFonts w:ascii="Aptos" w:hAnsi="Aptos"/>
                <w:color w:val="202A33"/>
                <w:sz w:val="17"/>
              </w:rPr>
              <w:t>Visitors, Founders, Service Providers, VCs</w:t>
            </w:r>
          </w:p>
        </w:tc>
        <w:tc>
          <w:tcPr>
            <w:tcW w:type="dxa" w:w="4810"/>
            <w:tcMar>
              <w:top w:w="90" w:type="dxa"/>
              <w:start w:w="110" w:type="dxa"/>
              <w:bottom w:w="90" w:type="dxa"/>
              <w:end w:w="110" w:type="dxa"/>
            </w:tcMar>
            <w:vAlign w:val="center"/>
          </w:tcPr>
          <w:p>
            <w:pPr>
              <w:spacing w:after="20" w:line="240" w:lineRule="auto"/>
            </w:pPr>
            <w:r>
              <w:rPr>
                <w:rFonts w:ascii="Aptos" w:hAnsi="Aptos"/>
                <w:color w:val="202A33"/>
                <w:sz w:val="17"/>
              </w:rPr>
              <w:t>Primary web application at the public domain. Public routes and authenticated workspace routes share one product shell.</w:t>
            </w:r>
          </w:p>
        </w:tc>
      </w:tr>
      <w:tr>
        <w:trPr>
          <w:cantSplit/>
        </w:trPr>
        <w:tc>
          <w:tcPr>
            <w:tcW w:type="dxa" w:w="2200"/>
            <w:shd w:fill="FAFBFC"/>
            <w:tcMar>
              <w:top w:w="90" w:type="dxa"/>
              <w:start w:w="110" w:type="dxa"/>
              <w:bottom w:w="90" w:type="dxa"/>
              <w:end w:w="110" w:type="dxa"/>
            </w:tcMar>
            <w:vAlign w:val="center"/>
          </w:tcPr>
          <w:p>
            <w:pPr>
              <w:spacing w:after="20" w:line="240" w:lineRule="auto"/>
            </w:pPr>
            <w:r>
              <w:rPr>
                <w:rFonts w:ascii="Aptos" w:hAnsi="Aptos"/>
                <w:color w:val="202A33"/>
                <w:sz w:val="17"/>
              </w:rPr>
              <w:t>Management platform</w:t>
            </w:r>
          </w:p>
        </w:tc>
        <w:tc>
          <w:tcPr>
            <w:tcW w:type="dxa" w:w="2350"/>
            <w:shd w:fill="FAFBFC"/>
            <w:tcMar>
              <w:top w:w="90" w:type="dxa"/>
              <w:start w:w="110" w:type="dxa"/>
              <w:bottom w:w="90" w:type="dxa"/>
              <w:end w:w="110" w:type="dxa"/>
            </w:tcMar>
            <w:vAlign w:val="center"/>
          </w:tcPr>
          <w:p>
            <w:pPr>
              <w:spacing w:after="20" w:line="240" w:lineRule="auto"/>
            </w:pPr>
            <w:r>
              <w:rPr>
                <w:rFonts w:ascii="Aptos" w:hAnsi="Aptos"/>
                <w:color w:val="202A33"/>
                <w:sz w:val="17"/>
              </w:rPr>
              <w:t>BBW staff only</w:t>
            </w:r>
          </w:p>
        </w:tc>
        <w:tc>
          <w:tcPr>
            <w:tcW w:type="dxa" w:w="4810"/>
            <w:shd w:fill="FAFBFC"/>
            <w:tcMar>
              <w:top w:w="90" w:type="dxa"/>
              <w:start w:w="110" w:type="dxa"/>
              <w:bottom w:w="90" w:type="dxa"/>
              <w:end w:w="110" w:type="dxa"/>
            </w:tcMar>
            <w:vAlign w:val="center"/>
          </w:tcPr>
          <w:p>
            <w:pPr>
              <w:spacing w:after="20" w:line="240" w:lineRule="auto"/>
            </w:pPr>
            <w:r>
              <w:rPr>
                <w:rFonts w:ascii="Aptos" w:hAnsi="Aptos"/>
                <w:color w:val="202A33"/>
                <w:sz w:val="17"/>
              </w:rPr>
              <w:t>Separately deployed application at an admin subdomain with independent route guards, session policy, navigation, and release controls.</w:t>
            </w:r>
          </w:p>
        </w:tc>
      </w:tr>
      <w:tr>
        <w:trPr>
          <w:cantSplit/>
        </w:trPr>
        <w:tc>
          <w:tcPr>
            <w:tcW w:type="dxa" w:w="2200"/>
            <w:tcMar>
              <w:top w:w="90" w:type="dxa"/>
              <w:start w:w="110" w:type="dxa"/>
              <w:bottom w:w="90" w:type="dxa"/>
              <w:end w:w="110" w:type="dxa"/>
            </w:tcMar>
            <w:vAlign w:val="center"/>
          </w:tcPr>
          <w:p>
            <w:pPr>
              <w:spacing w:after="20" w:line="240" w:lineRule="auto"/>
            </w:pPr>
            <w:r>
              <w:rPr>
                <w:rFonts w:ascii="Aptos" w:hAnsi="Aptos"/>
                <w:color w:val="202A33"/>
                <w:sz w:val="17"/>
              </w:rPr>
              <w:t>Shared company snapshot</w:t>
            </w:r>
          </w:p>
        </w:tc>
        <w:tc>
          <w:tcPr>
            <w:tcW w:type="dxa" w:w="2350"/>
            <w:tcMar>
              <w:top w:w="90" w:type="dxa"/>
              <w:start w:w="110" w:type="dxa"/>
              <w:bottom w:w="90" w:type="dxa"/>
              <w:end w:w="110" w:type="dxa"/>
            </w:tcMar>
            <w:vAlign w:val="center"/>
          </w:tcPr>
          <w:p>
            <w:pPr>
              <w:spacing w:after="20" w:line="240" w:lineRule="auto"/>
            </w:pPr>
            <w:r>
              <w:rPr>
                <w:rFonts w:ascii="Aptos" w:hAnsi="Aptos"/>
                <w:color w:val="202A33"/>
                <w:sz w:val="17"/>
              </w:rPr>
              <w:t>Named VC recipient or secure invited viewer</w:t>
            </w:r>
          </w:p>
        </w:tc>
        <w:tc>
          <w:tcPr>
            <w:tcW w:type="dxa" w:w="4810"/>
            <w:tcMar>
              <w:top w:w="90" w:type="dxa"/>
              <w:start w:w="110" w:type="dxa"/>
              <w:bottom w:w="90" w:type="dxa"/>
              <w:end w:w="110" w:type="dxa"/>
            </w:tcMar>
            <w:vAlign w:val="center"/>
          </w:tcPr>
          <w:p>
            <w:pPr>
              <w:spacing w:after="20" w:line="240" w:lineRule="auto"/>
            </w:pPr>
            <w:r>
              <w:rPr>
                <w:rFonts w:ascii="Aptos" w:hAnsi="Aptos"/>
                <w:color w:val="202A33"/>
                <w:sz w:val="17"/>
              </w:rPr>
              <w:t>Server-rendered, non-indexed read-only route with expiration, revocation, access logging, and selected fields only.</w:t>
            </w:r>
          </w:p>
        </w:tc>
      </w:tr>
    </w:tbl>
    <w:p>
      <w:pPr>
        <w:spacing w:after="20"/>
      </w:pPr>
    </w:p>
    <w:p>
      <w:pPr>
        <w:pStyle w:val="Heading2"/>
        <w:keepNext/>
      </w:pPr>
      <w:r>
        <w:t>3.2 Public home journey</w:t>
      </w:r>
    </w:p>
    <w:p>
      <w:pPr>
        <w:pStyle w:val="ListNumber"/>
        <w:numPr>
          <w:ilvl w:val="0"/>
          <w:numId w:val="10"/>
        </w:numPr>
      </w:pPr>
      <w:r>
        <w:t>Visitor lands on the public home and sees a large central prompt composer plus a current news feed.</w:t>
      </w:r>
    </w:p>
    <w:p>
      <w:pPr>
        <w:pStyle w:val="ListNumber"/>
        <w:numPr>
          <w:ilvl w:val="0"/>
          <w:numId w:val="10"/>
        </w:numPr>
      </w:pPr>
      <w:r>
        <w:t>Visitor may ask one limited preview question. The preview has no company context, no retained history, clear AI limitations, rate limiting, and abuse controls.</w:t>
      </w:r>
    </w:p>
    <w:p>
      <w:pPr>
        <w:pStyle w:val="ListNumber"/>
        <w:numPr>
          <w:ilvl w:val="0"/>
          <w:numId w:val="10"/>
        </w:numPr>
      </w:pPr>
      <w:r>
        <w:t>To continue, save the conversation, or personalize the response, the visitor registers or signs in.</w:t>
      </w:r>
    </w:p>
    <w:p>
      <w:pPr>
        <w:pStyle w:val="ListNumber"/>
        <w:numPr>
          <w:ilvl w:val="0"/>
          <w:numId w:val="10"/>
        </w:numPr>
      </w:pPr>
      <w:r>
        <w:t>A short platform explanation and role cards below the first viewport explain the benefits for founders, providers, and VCs.</w:t>
      </w:r>
    </w:p>
    <w:p>
      <w:pPr>
        <w:pStyle w:val="Heading2"/>
        <w:keepNext/>
      </w:pPr>
      <w:r>
        <w:t>3.3 Role onboarding</w:t>
      </w:r>
    </w:p>
    <w:p>
      <w:pPr>
        <w:pStyle w:val="ListNumber"/>
        <w:numPr>
          <w:ilvl w:val="0"/>
          <w:numId w:val="11"/>
        </w:numPr>
      </w:pPr>
      <w:r>
        <w:t>User verifies email and selects Founder, Service Provider, or VC. The choice creates the organization profile schema and default dashboard.</w:t>
      </w:r>
    </w:p>
    <w:p>
      <w:pPr>
        <w:pStyle w:val="ListNumber"/>
        <w:numPr>
          <w:ilvl w:val="0"/>
          <w:numId w:val="11"/>
        </w:numPr>
      </w:pPr>
      <w:r>
        <w:t>User completes a short role-specific setup: identity, organization, focus areas, geography, and privacy settings.</w:t>
      </w:r>
    </w:p>
    <w:p>
      <w:pPr>
        <w:pStyle w:val="ListNumber"/>
        <w:numPr>
          <w:ilvl w:val="0"/>
          <w:numId w:val="11"/>
        </w:numPr>
      </w:pPr>
      <w:r>
        <w:t>The platform displays a completion checklist and allows the user to enter the dashboard before every optional field is complete.</w:t>
      </w:r>
    </w:p>
    <w:p>
      <w:pPr>
        <w:pStyle w:val="ListNumber"/>
        <w:numPr>
          <w:ilvl w:val="0"/>
          <w:numId w:val="11"/>
        </w:numPr>
      </w:pPr>
      <w:r>
        <w:t>The user can request a role correction through support; self-service switching is not allowed after the organization contains data or teammates.</w:t>
      </w:r>
    </w:p>
    <w:p>
      <w:pPr>
        <w:pStyle w:val="Heading2"/>
        <w:keepNext/>
      </w:pPr>
      <w:r>
        <w:t>3.4 Company-to-VC sharing journey</w:t>
      </w:r>
    </w:p>
    <w:p>
      <w:pPr>
        <w:pStyle w:val="ListNumber"/>
        <w:numPr>
          <w:ilvl w:val="0"/>
          <w:numId w:val="12"/>
        </w:numPr>
      </w:pPr>
      <w:r>
        <w:t>Founder selects “Create VC snapshot” from the company dashboard.</w:t>
      </w:r>
    </w:p>
    <w:p>
      <w:pPr>
        <w:pStyle w:val="ListNumber"/>
        <w:numPr>
          <w:ilvl w:val="0"/>
          <w:numId w:val="12"/>
        </w:numPr>
      </w:pPr>
      <w:r>
        <w:t>Founder chooses fields, optional founder note, recipient VC, expiration date, and download permission.</w:t>
      </w:r>
    </w:p>
    <w:p>
      <w:pPr>
        <w:pStyle w:val="ListNumber"/>
        <w:numPr>
          <w:ilvl w:val="0"/>
          <w:numId w:val="12"/>
        </w:numPr>
      </w:pPr>
      <w:r>
        <w:t>System generates an immutable snapshot version and sends an invitation or makes it available in the selected VC’s “Shared with me” area.</w:t>
      </w:r>
    </w:p>
    <w:p>
      <w:pPr>
        <w:pStyle w:val="ListNumber"/>
        <w:numPr>
          <w:ilvl w:val="0"/>
          <w:numId w:val="12"/>
        </w:numPr>
      </w:pPr>
      <w:r>
        <w:t>VC views the snapshot but cannot navigate into the founder workspace or see omitted/private fields.</w:t>
      </w:r>
    </w:p>
    <w:p>
      <w:pPr>
        <w:pStyle w:val="ListNumber"/>
        <w:numPr>
          <w:ilvl w:val="0"/>
          <w:numId w:val="12"/>
        </w:numPr>
      </w:pPr>
      <w:r>
        <w:t>Founder sees view activity and may revoke access immediately. A later profile edit does not silently alter the existing snapshot; the founder republishes a new version.</w:t>
      </w:r>
    </w:p>
    <w:p>
      <w:pPr>
        <w:pStyle w:val="Heading1"/>
        <w:keepNext/>
      </w:pPr>
      <w:r>
        <w:t>4. Stage 1 modules and requirements</w:t>
      </w:r>
    </w:p>
    <w:p>
      <w:pPr>
        <w:pStyle w:val="Heading2"/>
        <w:keepNext/>
      </w:pPr>
      <w:r>
        <w:t>M1. Public Experience and Product Introduction</w:t>
      </w:r>
    </w:p>
    <w:p>
      <w:pPr>
        <w:spacing w:after="120"/>
      </w:pPr>
      <w:r>
        <w:rPr>
          <w:rFonts w:ascii="Aptos" w:hAnsi="Aptos"/>
          <w:b w:val="0"/>
          <w:i w:val="0"/>
          <w:color w:val="202A33"/>
          <w:sz w:val="21"/>
        </w:rPr>
        <w:t>Purpose: make BBW immediately useful before sign-up and clearly explain why a visitor should join.</w:t>
      </w:r>
    </w:p>
    <w:p>
      <w:pPr>
        <w:spacing w:after="120"/>
      </w:pPr>
      <w:r>
        <w:rPr>
          <w:rFonts w:ascii="Aptos" w:hAnsi="Aptos"/>
          <w:b/>
          <w:i w:val="0"/>
          <w:color w:val="17324D"/>
          <w:sz w:val="20"/>
        </w:rPr>
        <w:t>Member-facing features</w:t>
      </w:r>
    </w:p>
    <w:p>
      <w:pPr>
        <w:pStyle w:val="ListBullet"/>
      </w:pPr>
      <w:r>
        <w:t>Large conversational composer with example prompts and a clear “AI-generated information” notice.</w:t>
      </w:r>
    </w:p>
    <w:p>
      <w:pPr>
        <w:pStyle w:val="ListBullet"/>
      </w:pPr>
      <w:r>
        <w:t>Limited anonymous response with rate limits, safety screening, and no persistent conversation history.</w:t>
      </w:r>
    </w:p>
    <w:p>
      <w:pPr>
        <w:pStyle w:val="ListBullet"/>
      </w:pPr>
      <w:r>
        <w:t>Current news feed with filters for category and recency; public items open to a short article summary and source link.</w:t>
      </w:r>
    </w:p>
    <w:p>
      <w:pPr>
        <w:pStyle w:val="ListBullet"/>
      </w:pPr>
      <w:r>
        <w:t>Compact value statement above the fold; fuller platform introduction, trust signals, role benefits, and FAQ below.</w:t>
      </w:r>
    </w:p>
    <w:p>
      <w:pPr>
        <w:pStyle w:val="ListBullet"/>
      </w:pPr>
      <w:r>
        <w:t>Visible Register and Sign in actions; role cards route into the correct onboarding explanation.</w:t>
      </w:r>
    </w:p>
    <w:p>
      <w:pPr>
        <w:spacing w:after="120"/>
      </w:pPr>
      <w:r>
        <w:rPr>
          <w:rFonts w:ascii="Aptos" w:hAnsi="Aptos"/>
          <w:b/>
          <w:i w:val="0"/>
          <w:color w:val="17324D"/>
          <w:sz w:val="20"/>
        </w:rPr>
        <w:t>Management controls</w:t>
      </w:r>
    </w:p>
    <w:p>
      <w:pPr>
        <w:pStyle w:val="ListBullet"/>
      </w:pPr>
      <w:r>
        <w:t>Edit homepage copy, example prompts, featured news, role descriptions, and public FAQs.</w:t>
      </w:r>
    </w:p>
    <w:p>
      <w:pPr>
        <w:pStyle w:val="ListBullet"/>
      </w:pPr>
      <w:r>
        <w:t>Configure anonymous chat quota and public-news visibility.</w:t>
      </w:r>
    </w:p>
    <w:p>
      <w:pPr>
        <w:pStyle w:val="ListBullet"/>
      </w:pPr>
      <w:r>
        <w:t>Preview unpublished homepage changes before release.</w:t>
      </w:r>
    </w:p>
    <w:p>
      <w:pPr>
        <w:pStyle w:val="Heading2"/>
        <w:keepNext/>
      </w:pPr>
      <w:r>
        <w:t>M2. Identity, Organization Profiles, and Role Dashboards</w:t>
      </w:r>
    </w:p>
    <w:p>
      <w:pPr>
        <w:spacing w:after="120"/>
      </w:pPr>
      <w:r>
        <w:rPr>
          <w:rFonts w:ascii="Aptos" w:hAnsi="Aptos"/>
          <w:b w:val="0"/>
          <w:i w:val="0"/>
          <w:color w:val="202A33"/>
          <w:sz w:val="21"/>
        </w:rPr>
        <w:t>Purpose: create a clean, secure member identity and tailor the product to each business role.</w:t>
      </w:r>
    </w:p>
    <w:tbl>
      <w:tblPr>
        <w:tblStyle w:val="TableGrid"/>
        <w:tblW w:type="dxa" w:w="9360"/>
        <w:tblLayout w:type="fixed"/>
        <w:tblLook w:firstColumn="1" w:firstRow="1" w:lastColumn="0" w:lastRow="0" w:noHBand="0" w:noVBand="1" w:val="04A0"/>
        <w:jc w:val="left"/>
        <w:tblInd w:w="0" w:type="dxa"/>
      </w:tblPr>
      <w:tblGrid>
        <w:gridCol w:w="1500"/>
        <w:gridCol w:w="4300"/>
        <w:gridCol w:w="3560"/>
      </w:tblGrid>
      <w:tr>
        <w:trPr>
          <w:tblHeader w:val="true"/>
          <w:cantSplit/>
        </w:trPr>
        <w:tc>
          <w:tcPr>
            <w:tcW w:type="dxa" w:w="1500"/>
            <w:tcMar>
              <w:top w:w="90" w:type="dxa"/>
              <w:start w:w="110" w:type="dxa"/>
              <w:bottom w:w="90" w:type="dxa"/>
              <w:end w:w="110" w:type="dxa"/>
            </w:tcMar>
            <w:vAlign w:val="center"/>
            <w:shd w:fill="17324D"/>
          </w:tcPr>
          <w:p>
            <w:r>
              <w:rPr>
                <w:rFonts w:ascii="Aptos" w:hAnsi="Aptos"/>
                <w:b/>
                <w:color w:val="FFFFFF"/>
                <w:sz w:val="17"/>
              </w:rPr>
              <w:t>Role</w:t>
            </w:r>
          </w:p>
        </w:tc>
        <w:tc>
          <w:tcPr>
            <w:tcW w:type="dxa" w:w="4300"/>
            <w:tcMar>
              <w:top w:w="90" w:type="dxa"/>
              <w:start w:w="110" w:type="dxa"/>
              <w:bottom w:w="90" w:type="dxa"/>
              <w:end w:w="110" w:type="dxa"/>
            </w:tcMar>
            <w:vAlign w:val="center"/>
            <w:shd w:fill="17324D"/>
          </w:tcPr>
          <w:p>
            <w:r>
              <w:rPr>
                <w:rFonts w:ascii="Aptos" w:hAnsi="Aptos"/>
                <w:b/>
                <w:color w:val="FFFFFF"/>
                <w:sz w:val="17"/>
              </w:rPr>
              <w:t>Required profile fields</w:t>
            </w:r>
          </w:p>
        </w:tc>
        <w:tc>
          <w:tcPr>
            <w:tcW w:type="dxa" w:w="3560"/>
            <w:tcMar>
              <w:top w:w="90" w:type="dxa"/>
              <w:start w:w="110" w:type="dxa"/>
              <w:bottom w:w="90" w:type="dxa"/>
              <w:end w:w="110" w:type="dxa"/>
            </w:tcMar>
            <w:vAlign w:val="center"/>
            <w:shd w:fill="17324D"/>
          </w:tcPr>
          <w:p>
            <w:r>
              <w:rPr>
                <w:rFonts w:ascii="Aptos" w:hAnsi="Aptos"/>
                <w:b/>
                <w:color w:val="FFFFFF"/>
                <w:sz w:val="17"/>
              </w:rPr>
              <w:t>Dashboard emphasis</w:t>
            </w:r>
          </w:p>
        </w:tc>
      </w:tr>
      <w:tr>
        <w:trPr>
          <w:cantSplit/>
        </w:trPr>
        <w:tc>
          <w:tcPr>
            <w:tcW w:type="dxa" w:w="1500"/>
            <w:tcMar>
              <w:top w:w="90" w:type="dxa"/>
              <w:start w:w="110" w:type="dxa"/>
              <w:bottom w:w="90" w:type="dxa"/>
              <w:end w:w="110" w:type="dxa"/>
            </w:tcMar>
            <w:vAlign w:val="center"/>
          </w:tcPr>
          <w:p>
            <w:pPr>
              <w:spacing w:after="20" w:line="240" w:lineRule="auto"/>
            </w:pPr>
            <w:r>
              <w:rPr>
                <w:rFonts w:ascii="Aptos" w:hAnsi="Aptos"/>
                <w:color w:val="202A33"/>
                <w:sz w:val="17"/>
              </w:rPr>
              <w:t>Founder</w:t>
            </w:r>
          </w:p>
        </w:tc>
        <w:tc>
          <w:tcPr>
            <w:tcW w:type="dxa" w:w="4300"/>
            <w:tcMar>
              <w:top w:w="90" w:type="dxa"/>
              <w:start w:w="110" w:type="dxa"/>
              <w:bottom w:w="90" w:type="dxa"/>
              <w:end w:w="110" w:type="dxa"/>
            </w:tcMar>
            <w:vAlign w:val="center"/>
          </w:tcPr>
          <w:p>
            <w:pPr>
              <w:spacing w:after="20" w:line="240" w:lineRule="auto"/>
            </w:pPr>
            <w:r>
              <w:rPr>
                <w:rFonts w:ascii="Aptos" w:hAnsi="Aptos"/>
                <w:color w:val="202A33"/>
                <w:sz w:val="17"/>
              </w:rPr>
              <w:t>Company name; website; location; sector/modality; stage; short summary; primary contact; visibility consent.</w:t>
            </w:r>
          </w:p>
        </w:tc>
        <w:tc>
          <w:tcPr>
            <w:tcW w:type="dxa" w:w="3560"/>
            <w:tcMar>
              <w:top w:w="90" w:type="dxa"/>
              <w:start w:w="110" w:type="dxa"/>
              <w:bottom w:w="90" w:type="dxa"/>
              <w:end w:w="110" w:type="dxa"/>
            </w:tcMar>
            <w:vAlign w:val="center"/>
          </w:tcPr>
          <w:p>
            <w:pPr>
              <w:spacing w:after="20" w:line="240" w:lineRule="auto"/>
            </w:pPr>
            <w:r>
              <w:rPr>
                <w:rFonts w:ascii="Aptos" w:hAnsi="Aptos"/>
                <w:color w:val="202A33"/>
                <w:sz w:val="17"/>
              </w:rPr>
              <w:t>Company completeness and status; AI next actions; news; provider/VC discovery; snapshot activity.</w:t>
            </w:r>
          </w:p>
        </w:tc>
      </w:tr>
      <w:tr>
        <w:trPr>
          <w:cantSplit/>
        </w:trPr>
        <w:tc>
          <w:tcPr>
            <w:tcW w:type="dxa" w:w="1500"/>
            <w:shd w:fill="FAFBFC"/>
            <w:tcMar>
              <w:top w:w="90" w:type="dxa"/>
              <w:start w:w="110" w:type="dxa"/>
              <w:bottom w:w="90" w:type="dxa"/>
              <w:end w:w="110" w:type="dxa"/>
            </w:tcMar>
            <w:vAlign w:val="center"/>
          </w:tcPr>
          <w:p>
            <w:pPr>
              <w:spacing w:after="20" w:line="240" w:lineRule="auto"/>
            </w:pPr>
            <w:r>
              <w:rPr>
                <w:rFonts w:ascii="Aptos" w:hAnsi="Aptos"/>
                <w:color w:val="202A33"/>
                <w:sz w:val="17"/>
              </w:rPr>
              <w:t>Service Provider</w:t>
            </w:r>
          </w:p>
        </w:tc>
        <w:tc>
          <w:tcPr>
            <w:tcW w:type="dxa" w:w="4300"/>
            <w:shd w:fill="FAFBFC"/>
            <w:tcMar>
              <w:top w:w="90" w:type="dxa"/>
              <w:start w:w="110" w:type="dxa"/>
              <w:bottom w:w="90" w:type="dxa"/>
              <w:end w:w="110" w:type="dxa"/>
            </w:tcMar>
            <w:vAlign w:val="center"/>
          </w:tcPr>
          <w:p>
            <w:pPr>
              <w:spacing w:after="20" w:line="240" w:lineRule="auto"/>
            </w:pPr>
            <w:r>
              <w:rPr>
                <w:rFonts w:ascii="Aptos" w:hAnsi="Aptos"/>
                <w:color w:val="202A33"/>
                <w:sz w:val="17"/>
              </w:rPr>
              <w:t>Organization/name; service categories; expertise; stage served; geography; delivery mode; contact; availability.</w:t>
            </w:r>
          </w:p>
        </w:tc>
        <w:tc>
          <w:tcPr>
            <w:tcW w:type="dxa" w:w="3560"/>
            <w:shd w:fill="FAFBFC"/>
            <w:tcMar>
              <w:top w:w="90" w:type="dxa"/>
              <w:start w:w="110" w:type="dxa"/>
              <w:bottom w:w="90" w:type="dxa"/>
              <w:end w:w="110" w:type="dxa"/>
            </w:tcMar>
            <w:vAlign w:val="center"/>
          </w:tcPr>
          <w:p>
            <w:pPr>
              <w:spacing w:after="20" w:line="240" w:lineRule="auto"/>
            </w:pPr>
            <w:r>
              <w:rPr>
                <w:rFonts w:ascii="Aptos" w:hAnsi="Aptos"/>
                <w:color w:val="202A33"/>
                <w:sz w:val="17"/>
              </w:rPr>
              <w:t>Profile completeness; founder/community discovery; inquiries; AI/news.</w:t>
            </w:r>
          </w:p>
        </w:tc>
      </w:tr>
      <w:tr>
        <w:trPr>
          <w:cantSplit/>
        </w:trPr>
        <w:tc>
          <w:tcPr>
            <w:tcW w:type="dxa" w:w="1500"/>
            <w:tcMar>
              <w:top w:w="90" w:type="dxa"/>
              <w:start w:w="110" w:type="dxa"/>
              <w:bottom w:w="90" w:type="dxa"/>
              <w:end w:w="110" w:type="dxa"/>
            </w:tcMar>
            <w:vAlign w:val="center"/>
          </w:tcPr>
          <w:p>
            <w:pPr>
              <w:spacing w:after="20" w:line="240" w:lineRule="auto"/>
            </w:pPr>
            <w:r>
              <w:rPr>
                <w:rFonts w:ascii="Aptos" w:hAnsi="Aptos"/>
                <w:color w:val="202A33"/>
                <w:sz w:val="17"/>
              </w:rPr>
              <w:t>VC</w:t>
            </w:r>
          </w:p>
        </w:tc>
        <w:tc>
          <w:tcPr>
            <w:tcW w:type="dxa" w:w="4300"/>
            <w:tcMar>
              <w:top w:w="90" w:type="dxa"/>
              <w:start w:w="110" w:type="dxa"/>
              <w:bottom w:w="90" w:type="dxa"/>
              <w:end w:w="110" w:type="dxa"/>
            </w:tcMar>
            <w:vAlign w:val="center"/>
          </w:tcPr>
          <w:p>
            <w:pPr>
              <w:spacing w:after="20" w:line="240" w:lineRule="auto"/>
            </w:pPr>
            <w:r>
              <w:rPr>
                <w:rFonts w:ascii="Aptos" w:hAnsi="Aptos"/>
                <w:color w:val="202A33"/>
                <w:sz w:val="17"/>
              </w:rPr>
              <w:t>Fund/firm; investment thesis; stage; sectors/modalities; geography; check-size band; contact; visibility.</w:t>
            </w:r>
          </w:p>
        </w:tc>
        <w:tc>
          <w:tcPr>
            <w:tcW w:type="dxa" w:w="3560"/>
            <w:tcMar>
              <w:top w:w="90" w:type="dxa"/>
              <w:start w:w="110" w:type="dxa"/>
              <w:bottom w:w="90" w:type="dxa"/>
              <w:end w:w="110" w:type="dxa"/>
            </w:tcMar>
            <w:vAlign w:val="center"/>
          </w:tcPr>
          <w:p>
            <w:pPr>
              <w:spacing w:after="20" w:line="240" w:lineRule="auto"/>
            </w:pPr>
            <w:r>
              <w:rPr>
                <w:rFonts w:ascii="Aptos" w:hAnsi="Aptos"/>
                <w:color w:val="202A33"/>
                <w:sz w:val="17"/>
              </w:rPr>
              <w:t>Shared startup snapshots; discovery; news; saved topics; profile completeness.</w:t>
            </w:r>
          </w:p>
        </w:tc>
      </w:tr>
    </w:tbl>
    <w:p>
      <w:pPr>
        <w:spacing w:after="20"/>
      </w:pPr>
    </w:p>
    <w:p>
      <w:pPr>
        <w:pStyle w:val="ListBullet"/>
      </w:pPr>
      <w:r>
        <w:t>Email/password authentication, verification, password reset, session management, and invitation flow.</w:t>
      </w:r>
    </w:p>
    <w:p>
      <w:pPr>
        <w:pStyle w:val="ListBullet"/>
      </w:pPr>
      <w:r>
        <w:t>Role-specific onboarding with save-and-resume and a short completion checklist.</w:t>
      </w:r>
    </w:p>
    <w:p>
      <w:pPr>
        <w:pStyle w:val="ListBullet"/>
      </w:pPr>
      <w:r>
        <w:t>Owner/Member team roles inside each organization; invitation expiration and removal.</w:t>
      </w:r>
    </w:p>
    <w:p>
      <w:pPr>
        <w:pStyle w:val="ListBullet"/>
      </w:pPr>
      <w:r>
        <w:t>Privacy controls per field group: private, members, or public preview where appropriate.</w:t>
      </w:r>
    </w:p>
    <w:p>
      <w:pPr>
        <w:pStyle w:val="ListBullet"/>
      </w:pPr>
      <w:r>
        <w:t>Account export and deletion request initiation; management approval is required only when legal retention applies.</w:t>
      </w:r>
    </w:p>
    <w:p>
      <w:pPr>
        <w:pStyle w:val="Heading2"/>
        <w:keepNext/>
      </w:pPr>
      <w:r>
        <w:t>M3. Founder Company Information and Status Hub</w:t>
      </w:r>
    </w:p>
    <w:p>
      <w:pPr>
        <w:spacing w:after="120"/>
      </w:pPr>
      <w:r>
        <w:rPr>
          <w:rFonts w:ascii="Aptos" w:hAnsi="Aptos"/>
          <w:b w:val="0"/>
          <w:i w:val="0"/>
          <w:color w:val="202A33"/>
          <w:sz w:val="21"/>
        </w:rPr>
        <w:t>Purpose: provide a structured source of truth that also makes the assistant genuinely company-aware.</w:t>
      </w:r>
    </w:p>
    <w:p>
      <w:pPr>
        <w:pStyle w:val="ListBullet"/>
      </w:pPr>
      <w:r>
        <w:t>Business profile: overview, problem, solution, product, target users, differentiation, business model, geography, and contact.</w:t>
      </w:r>
    </w:p>
    <w:p>
      <w:pPr>
        <w:pStyle w:val="ListBullet"/>
      </w:pPr>
      <w:r>
        <w:t>Company status: formation, development stage, funding stage, team size, current priorities, blockers, and next milestone.</w:t>
      </w:r>
    </w:p>
    <w:p>
      <w:pPr>
        <w:pStyle w:val="ListBullet"/>
      </w:pPr>
      <w:r>
        <w:t>Biotech-specific optional fields: therapeutic area, modality, indication, development stage, regulatory pathway, IP status, and evidence status.</w:t>
      </w:r>
    </w:p>
    <w:p>
      <w:pPr>
        <w:pStyle w:val="ListBullet"/>
      </w:pPr>
      <w:r>
        <w:t>Milestones: title, target date, state, and short evidence/note. No full project-management system in Stage 1.</w:t>
      </w:r>
    </w:p>
    <w:p>
      <w:pPr>
        <w:pStyle w:val="ListBullet"/>
      </w:pPr>
      <w:r>
        <w:t>Completeness indicator and “recommended next fields” prompts; drafts save automatically.</w:t>
      </w:r>
    </w:p>
    <w:p>
      <w:pPr>
        <w:pStyle w:val="ListBullet"/>
      </w:pPr>
      <w:r>
        <w:t>Field-level privacy and explicit control over which fields are eligible for AI context and VC snapshots.</w:t>
      </w:r>
    </w:p>
    <w:p>
      <w:pPr>
        <w:spacing w:before="80" w:after="140"/>
        <w:ind w:left="202" w:right="202"/>
        <w:shd w:fill="FFF6DE"/>
        <w:pBdr>
          <w:left w:val="single" w:sz="18" w:space="8" w:color="0E7C7B"/>
        </w:pBdr>
      </w:pPr>
      <w:r>
        <w:rPr>
          <w:rFonts w:ascii="Aptos" w:hAnsi="Aptos"/>
          <w:b/>
          <w:color w:val="17324D"/>
          <w:sz w:val="20"/>
        </w:rPr>
        <w:t xml:space="preserve">AI context rule  </w:t>
      </w:r>
      <w:r>
        <w:rPr>
          <w:rFonts w:ascii="Aptos" w:hAnsi="Aptos"/>
          <w:color w:val="202A33"/>
          <w:sz w:val="19"/>
        </w:rPr>
        <w:t>For a signed-in founder, the current company profile and status may be supplied to the assistant as structured context. The UI must disclose the active company context and provide an “Exclude company context” control for each new conversation. Files, attachments, and other conversations are excluded in Stage 1.</w:t>
      </w:r>
    </w:p>
    <w:p>
      <w:pPr>
        <w:pStyle w:val="Heading2"/>
        <w:keepNext/>
      </w:pPr>
      <w:r>
        <w:t>M4. AI Assistant</w:t>
      </w:r>
    </w:p>
    <w:p>
      <w:pPr>
        <w:spacing w:after="120"/>
      </w:pPr>
      <w:r>
        <w:rPr>
          <w:rFonts w:ascii="Aptos" w:hAnsi="Aptos"/>
          <w:b w:val="0"/>
          <w:i w:val="0"/>
          <w:color w:val="202A33"/>
          <w:sz w:val="21"/>
        </w:rPr>
        <w:t>Purpose: help each member turn questions and current organization context into practical next steps while maintaining clear boundaries.</w:t>
      </w:r>
    </w:p>
    <w:p>
      <w:pPr>
        <w:pStyle w:val="ListBullet"/>
      </w:pPr>
      <w:r>
        <w:t>Topic starters and prompt examples appropriate to each role.</w:t>
      </w:r>
    </w:p>
    <w:p>
      <w:pPr>
        <w:pStyle w:val="ListBullet"/>
      </w:pPr>
      <w:r>
        <w:t>Saved conversations for signed-in members; rename, delete, and start-new actions.</w:t>
      </w:r>
    </w:p>
    <w:p>
      <w:pPr>
        <w:pStyle w:val="ListBullet"/>
      </w:pPr>
      <w:r>
        <w:t>Role context: founder company profile/status, provider services profile, or VC investment profile—never another tenant’s private data.</w:t>
      </w:r>
    </w:p>
    <w:p>
      <w:pPr>
        <w:pStyle w:val="ListBullet"/>
      </w:pPr>
      <w:r>
        <w:t>Response actions: copy, thumbs up/down, report, and create a follow-up prompt.</w:t>
      </w:r>
    </w:p>
    <w:p>
      <w:pPr>
        <w:pStyle w:val="ListBullet"/>
      </w:pPr>
      <w:r>
        <w:t>Citations or source links when the configured model/search capability supports them; otherwise label the answer as general guidance.</w:t>
      </w:r>
    </w:p>
    <w:p>
      <w:pPr>
        <w:pStyle w:val="ListBullet"/>
      </w:pPr>
      <w:r>
        <w:t>Guardrails for medical, legal, regulatory, investment, and clinical claims; no representation as professional advice.</w:t>
      </w:r>
    </w:p>
    <w:p>
      <w:pPr>
        <w:pStyle w:val="ListBullet"/>
      </w:pPr>
      <w:r>
        <w:t>Per-user and per-organization quotas, latency/error telemetry, token usage, and estimated cost.</w:t>
      </w:r>
    </w:p>
    <w:p>
      <w:pPr>
        <w:spacing w:after="120"/>
      </w:pPr>
      <w:r>
        <w:rPr>
          <w:rFonts w:ascii="Aptos" w:hAnsi="Aptos"/>
          <w:b/>
          <w:i w:val="0"/>
          <w:color w:val="17324D"/>
          <w:sz w:val="20"/>
        </w:rPr>
        <w:t>Management controls</w:t>
      </w:r>
    </w:p>
    <w:p>
      <w:pPr>
        <w:pStyle w:val="ListBullet"/>
      </w:pPr>
      <w:r>
        <w:t>Edit system instructions, topic catalog, role prompt starters, model selection, quotas, and feature flags.</w:t>
      </w:r>
    </w:p>
    <w:p>
      <w:pPr>
        <w:pStyle w:val="ListBullet"/>
      </w:pPr>
      <w:r>
        <w:t>Review reported outputs and aggregate quality/usage indicators without browsing private chat content by default.</w:t>
      </w:r>
    </w:p>
    <w:p>
      <w:pPr>
        <w:pStyle w:val="ListBullet"/>
      </w:pPr>
      <w:r>
        <w:t>Disable public preview or member chat independently during incidents.</w:t>
      </w:r>
    </w:p>
    <w:p>
      <w:pPr>
        <w:pStyle w:val="Heading2"/>
        <w:keepNext/>
      </w:pPr>
      <w:r>
        <w:t>M5. Curated News and Intelligence Feed</w:t>
      </w:r>
    </w:p>
    <w:p>
      <w:pPr>
        <w:spacing w:after="120"/>
      </w:pPr>
      <w:r>
        <w:rPr>
          <w:rFonts w:ascii="Aptos" w:hAnsi="Aptos"/>
          <w:b w:val="0"/>
          <w:i w:val="0"/>
          <w:color w:val="202A33"/>
          <w:sz w:val="21"/>
        </w:rPr>
        <w:t>Purpose: provide credible, current ecosystem signals without becoming a full publishing system.</w:t>
      </w:r>
    </w:p>
    <w:p>
      <w:pPr>
        <w:pStyle w:val="ListBullet"/>
      </w:pPr>
      <w:r>
        <w:t>Public feed on the start page; richer member feed with categories and saved preferences.</w:t>
      </w:r>
    </w:p>
    <w:p>
      <w:pPr>
        <w:pStyle w:val="ListBullet"/>
      </w:pPr>
      <w:r>
        <w:t>Item fields: headline, source, publish date, source URL, image if licensed, category, short BBW summary, and tags.</w:t>
      </w:r>
    </w:p>
    <w:p>
      <w:pPr>
        <w:pStyle w:val="ListBullet"/>
      </w:pPr>
      <w:r>
        <w:t>Filters for role relevance, therapeutic area/modality, business topic, geography, and recency where metadata exists.</w:t>
      </w:r>
    </w:p>
    <w:p>
      <w:pPr>
        <w:pStyle w:val="ListBullet"/>
      </w:pPr>
      <w:r>
        <w:t>Management workflow to add, edit, feature, unpublish, and review stale/broken sources.</w:t>
      </w:r>
    </w:p>
    <w:p>
      <w:pPr>
        <w:pStyle w:val="ListBullet"/>
      </w:pPr>
      <w:r>
        <w:t>Source attribution and direct link to the original publisher; summaries avoid reproducing copyrighted articles.</w:t>
      </w:r>
    </w:p>
    <w:p>
      <w:pPr>
        <w:pStyle w:val="Heading2"/>
        <w:keepNext/>
      </w:pPr>
      <w:r>
        <w:t>M6. Ecosystem Directory and Communities</w:t>
      </w:r>
    </w:p>
    <w:p>
      <w:pPr>
        <w:spacing w:after="120"/>
      </w:pPr>
      <w:r>
        <w:rPr>
          <w:rFonts w:ascii="Aptos" w:hAnsi="Aptos"/>
          <w:b w:val="0"/>
          <w:i w:val="0"/>
          <w:color w:val="202A33"/>
          <w:sz w:val="21"/>
        </w:rPr>
        <w:t>Purpose: make the three-sided network discoverable without promising advanced matching in Stage 1.</w:t>
      </w:r>
    </w:p>
    <w:p>
      <w:pPr>
        <w:pStyle w:val="ListBullet"/>
      </w:pPr>
      <w:r>
        <w:t>Directory tabs for startups, service providers, VCs, and communities, subject to each profile’s visibility settings.</w:t>
      </w:r>
    </w:p>
    <w:p>
      <w:pPr>
        <w:pStyle w:val="ListBullet"/>
      </w:pPr>
      <w:r>
        <w:t>Search and basic filters using the approved taxonomy; no opaque ranking or compatibility score.</w:t>
      </w:r>
    </w:p>
    <w:p>
      <w:pPr>
        <w:pStyle w:val="ListBullet"/>
      </w:pPr>
      <w:r>
        <w:t>Compact profile cards with role-appropriate fields and a clear contact/request-introduction action.</w:t>
      </w:r>
    </w:p>
    <w:p>
      <w:pPr>
        <w:pStyle w:val="ListBullet"/>
      </w:pPr>
      <w:r>
        <w:t>Community page with title, description, focus, geography, contact/link, member visibility, and status.</w:t>
      </w:r>
    </w:p>
    <w:p>
      <w:pPr>
        <w:pStyle w:val="ListBullet"/>
      </w:pPr>
      <w:r>
        <w:t>Members can save directory items. Direct in-platform messaging is deferred; Stage 1 uses controlled contact requests or external contact links.</w:t>
      </w:r>
    </w:p>
    <w:p>
      <w:pPr>
        <w:pStyle w:val="ListBullet"/>
      </w:pPr>
      <w:r>
        <w:t>Management can create/edit communities, moderate public profile content, deactivate listings, and process reports.</w:t>
      </w:r>
    </w:p>
    <w:p>
      <w:pPr>
        <w:pStyle w:val="Heading2"/>
        <w:keepNext/>
      </w:pPr>
      <w:r>
        <w:t>M7. Controlled Company Snapshot</w:t>
      </w:r>
    </w:p>
    <w:p>
      <w:pPr>
        <w:spacing w:after="120"/>
      </w:pPr>
      <w:r>
        <w:rPr>
          <w:rFonts w:ascii="Aptos" w:hAnsi="Aptos"/>
          <w:b w:val="0"/>
          <w:i w:val="0"/>
          <w:color w:val="202A33"/>
          <w:sz w:val="21"/>
        </w:rPr>
        <w:t>Purpose: let a founder present a credible, bounded company view to a VC without granting workspace access.</w:t>
      </w:r>
    </w:p>
    <w:p>
      <w:pPr>
        <w:pStyle w:val="ListBullet"/>
      </w:pPr>
      <w:r>
        <w:t>Snapshot builder uses only founder-selected fields from the current company profile/status plus an optional note.</w:t>
      </w:r>
    </w:p>
    <w:p>
      <w:pPr>
        <w:pStyle w:val="ListBullet"/>
      </w:pPr>
      <w:r>
        <w:t>Recipient may be a registered VC account; an optional recipient-specific secure link supports an invited external viewer if management enables it.</w:t>
      </w:r>
    </w:p>
    <w:p>
      <w:pPr>
        <w:pStyle w:val="ListBullet"/>
      </w:pPr>
      <w:r>
        <w:t>Required controls: expiration, immediate revocation, no search indexing, unpredictable token, view log, and visible “snapshot generated on” date.</w:t>
      </w:r>
    </w:p>
    <w:p>
      <w:pPr>
        <w:pStyle w:val="ListBullet"/>
      </w:pPr>
      <w:r>
        <w:t>PDF/print rendering may be enabled, but the canonical artifact is the secure temporary web page.</w:t>
      </w:r>
    </w:p>
    <w:p>
      <w:pPr>
        <w:pStyle w:val="ListBullet"/>
      </w:pPr>
      <w:r>
        <w:t>The snapshot is versioned and immutable. Republishing creates a new version and can revoke the old version.</w:t>
      </w:r>
    </w:p>
    <w:p>
      <w:pPr>
        <w:pStyle w:val="ListBullet"/>
      </w:pPr>
      <w:r>
        <w:t>No financial model, data room, attachments, or electronic signature in Stage 1.</w:t>
      </w:r>
    </w:p>
    <w:p>
      <w:pPr>
        <w:pStyle w:val="Heading2"/>
        <w:keepNext/>
      </w:pPr>
      <w:r>
        <w:t>M8. Separate Management Application</w:t>
      </w:r>
    </w:p>
    <w:p>
      <w:pPr>
        <w:spacing w:after="120"/>
      </w:pPr>
      <w:r>
        <w:rPr>
          <w:rFonts w:ascii="Aptos" w:hAnsi="Aptos"/>
          <w:b w:val="0"/>
          <w:i w:val="0"/>
          <w:color w:val="202A33"/>
          <w:sz w:val="21"/>
        </w:rPr>
        <w:t>Purpose: give the platform owner operational control without mixing privileged actions into the member product.</w:t>
      </w:r>
    </w:p>
    <w:p>
      <w:pPr>
        <w:pStyle w:val="ListBullet"/>
      </w:pPr>
      <w:r>
        <w:t>Separate deployment and hostname; management routes are absent from public/member navigation.</w:t>
      </w:r>
    </w:p>
    <w:p>
      <w:pPr>
        <w:pStyle w:val="ListBullet"/>
      </w:pPr>
      <w:r>
        <w:t>User and organization search, status, role correction, invitation support, suspension, deletion workflow, and audit history.</w:t>
      </w:r>
    </w:p>
    <w:p>
      <w:pPr>
        <w:pStyle w:val="ListBullet"/>
      </w:pPr>
      <w:r>
        <w:t>Content operations for public copy, news, communities, directory moderation, chatbot topics, prompts, and feature flags.</w:t>
      </w:r>
    </w:p>
    <w:p>
      <w:pPr>
        <w:pStyle w:val="ListBullet"/>
      </w:pPr>
      <w:r>
        <w:t>Usage dashboard by date, environment, member type, organization, and service: sign-ups, active users, chats, tokens, errors, news clicks, snapshot views, and contact requests.</w:t>
      </w:r>
    </w:p>
    <w:p>
      <w:pPr>
        <w:pStyle w:val="ListBullet"/>
      </w:pPr>
      <w:r>
        <w:t>Third-party cost center for AI, database/storage, hosting, email, and news providers with actual invoices/imports where available and estimated costs otherwise.</w:t>
      </w:r>
    </w:p>
    <w:p>
      <w:pPr>
        <w:pStyle w:val="ListBullet"/>
      </w:pPr>
      <w:r>
        <w:t>Budget thresholds and alerts; CSV export; incident kill switches for public chat, member chat, news ingestion, and outbound email.</w:t>
      </w:r>
    </w:p>
    <w:p>
      <w:pPr>
        <w:pStyle w:val="ListBullet"/>
      </w:pPr>
      <w:r>
        <w:t>Administrative actions require a reason for sensitive changes and generate immutable audit entries.</w:t>
      </w:r>
    </w:p>
    <w:p>
      <w:pPr>
        <w:spacing w:before="80" w:after="140"/>
        <w:ind w:left="202" w:right="202"/>
        <w:shd w:fill="FFF6DE"/>
        <w:pBdr>
          <w:left w:val="single" w:sz="18" w:space="8" w:color="0E7C7B"/>
        </w:pBdr>
      </w:pPr>
      <w:r>
        <w:rPr>
          <w:rFonts w:ascii="Aptos" w:hAnsi="Aptos"/>
          <w:b/>
          <w:color w:val="17324D"/>
          <w:sz w:val="20"/>
        </w:rPr>
        <w:t xml:space="preserve">Billing boundary  </w:t>
      </w:r>
      <w:r>
        <w:rPr>
          <w:rFonts w:ascii="Aptos" w:hAnsi="Aptos"/>
          <w:color w:val="202A33"/>
          <w:sz w:val="19"/>
        </w:rPr>
        <w:t>Stage 1 cost tracking is an owner operations capability. It does not charge members or manage subscription plans. Member billing, invoicing, entitlements, and payment collection remain Stage 2 unless separately authorized.</w:t>
      </w:r>
    </w:p>
    <w:p>
      <w:pPr>
        <w:pStyle w:val="Heading1"/>
        <w:keepNext/>
      </w:pPr>
      <w:r>
        <w:t>5. Screen blueprints</w:t>
      </w:r>
    </w:p>
    <w:p>
      <w:pPr>
        <w:spacing w:after="120"/>
      </w:pPr>
      <w:r>
        <w:rPr>
          <w:rFonts w:ascii="Aptos" w:hAnsi="Aptos"/>
          <w:b w:val="0"/>
          <w:i w:val="0"/>
          <w:color w:val="202A33"/>
          <w:sz w:val="21"/>
        </w:rPr>
        <w:t>These are interaction blueprints, not final brand artwork. They define hierarchy, required states, and responsive behavior.</w:t>
      </w:r>
    </w:p>
    <w:p>
      <w:pPr>
        <w:pStyle w:val="Heading2"/>
        <w:keepNext/>
      </w:pPr>
      <w:r>
        <w:t>5.1 Public home — desktop</w:t>
      </w:r>
    </w:p>
    <w:tbl>
      <w:tblPr>
        <w:tblStyle w:val="TableGrid"/>
        <w:tblW w:type="dxa" w:w="9360"/>
        <w:tblLayout w:type="fixed"/>
        <w:tblLook w:firstColumn="1" w:firstRow="1" w:lastColumn="0" w:lastRow="0" w:noHBand="0" w:noVBand="1" w:val="04A0"/>
        <w:jc w:val="left"/>
        <w:tblInd w:w="0" w:type="dxa"/>
      </w:tblPr>
      <w:tblGrid>
        <w:gridCol w:w="1800"/>
        <w:gridCol w:w="7560"/>
      </w:tblGrid>
      <w:tr>
        <w:trPr>
          <w:tblHeader w:val="true"/>
          <w:cantSplit/>
        </w:trPr>
        <w:tc>
          <w:tcPr>
            <w:tcW w:type="dxa" w:w="1800"/>
            <w:tcMar>
              <w:top w:w="90" w:type="dxa"/>
              <w:start w:w="110" w:type="dxa"/>
              <w:bottom w:w="90" w:type="dxa"/>
              <w:end w:w="110" w:type="dxa"/>
            </w:tcMar>
            <w:vAlign w:val="center"/>
            <w:shd w:fill="17324D"/>
          </w:tcPr>
          <w:p>
            <w:r>
              <w:rPr>
                <w:rFonts w:ascii="Aptos" w:hAnsi="Aptos"/>
                <w:b/>
                <w:color w:val="FFFFFF"/>
                <w:sz w:val="17"/>
              </w:rPr>
              <w:t>Zone</w:t>
            </w:r>
          </w:p>
        </w:tc>
        <w:tc>
          <w:tcPr>
            <w:tcW w:type="dxa" w:w="7560"/>
            <w:tcMar>
              <w:top w:w="90" w:type="dxa"/>
              <w:start w:w="110" w:type="dxa"/>
              <w:bottom w:w="90" w:type="dxa"/>
              <w:end w:w="110" w:type="dxa"/>
            </w:tcMar>
            <w:vAlign w:val="center"/>
            <w:shd w:fill="17324D"/>
          </w:tcPr>
          <w:p>
            <w:r>
              <w:rPr>
                <w:rFonts w:ascii="Aptos" w:hAnsi="Aptos"/>
                <w:b/>
                <w:color w:val="FFFFFF"/>
                <w:sz w:val="17"/>
              </w:rPr>
              <w:t>Required content and behavior</w:t>
            </w:r>
          </w:p>
        </w:tc>
      </w:tr>
      <w:tr>
        <w:trPr>
          <w:cantSplit/>
        </w:trPr>
        <w:tc>
          <w:tcPr>
            <w:tcW w:type="dxa" w:w="1800"/>
            <w:tcMar>
              <w:top w:w="90" w:type="dxa"/>
              <w:start w:w="110" w:type="dxa"/>
              <w:bottom w:w="90" w:type="dxa"/>
              <w:end w:w="110" w:type="dxa"/>
            </w:tcMar>
            <w:vAlign w:val="center"/>
          </w:tcPr>
          <w:p>
            <w:pPr>
              <w:spacing w:after="20" w:line="240" w:lineRule="auto"/>
            </w:pPr>
            <w:r>
              <w:rPr>
                <w:rFonts w:ascii="Aptos" w:hAnsi="Aptos"/>
                <w:color w:val="202A33"/>
                <w:sz w:val="17"/>
              </w:rPr>
              <w:t>Top navigation</w:t>
            </w:r>
          </w:p>
        </w:tc>
        <w:tc>
          <w:tcPr>
            <w:tcW w:type="dxa" w:w="7560"/>
            <w:tcMar>
              <w:top w:w="90" w:type="dxa"/>
              <w:start w:w="110" w:type="dxa"/>
              <w:bottom w:w="90" w:type="dxa"/>
              <w:end w:w="110" w:type="dxa"/>
            </w:tcMar>
            <w:vAlign w:val="center"/>
          </w:tcPr>
          <w:p>
            <w:pPr>
              <w:spacing w:after="20" w:line="240" w:lineRule="auto"/>
            </w:pPr>
            <w:r>
              <w:rPr>
                <w:rFonts w:ascii="Aptos" w:hAnsi="Aptos"/>
                <w:color w:val="202A33"/>
                <w:sz w:val="17"/>
              </w:rPr>
              <w:t>BBW wordmark; News; Ecosystem; About; Sign in; primary Register action.</w:t>
            </w:r>
          </w:p>
        </w:tc>
      </w:tr>
      <w:tr>
        <w:trPr>
          <w:cantSplit/>
        </w:trPr>
        <w:tc>
          <w:tcPr>
            <w:tcW w:type="dxa" w:w="1800"/>
            <w:shd w:fill="FAFBFC"/>
            <w:tcMar>
              <w:top w:w="90" w:type="dxa"/>
              <w:start w:w="110" w:type="dxa"/>
              <w:bottom w:w="90" w:type="dxa"/>
              <w:end w:w="110" w:type="dxa"/>
            </w:tcMar>
            <w:vAlign w:val="center"/>
          </w:tcPr>
          <w:p>
            <w:pPr>
              <w:spacing w:after="20" w:line="240" w:lineRule="auto"/>
            </w:pPr>
            <w:r>
              <w:rPr>
                <w:rFonts w:ascii="Aptos" w:hAnsi="Aptos"/>
                <w:color w:val="202A33"/>
                <w:sz w:val="17"/>
              </w:rPr>
              <w:t>Hero</w:t>
            </w:r>
          </w:p>
        </w:tc>
        <w:tc>
          <w:tcPr>
            <w:tcW w:type="dxa" w:w="7560"/>
            <w:shd w:fill="FAFBFC"/>
            <w:tcMar>
              <w:top w:w="90" w:type="dxa"/>
              <w:start w:w="110" w:type="dxa"/>
              <w:bottom w:w="90" w:type="dxa"/>
              <w:end w:w="110" w:type="dxa"/>
            </w:tcMar>
            <w:vAlign w:val="center"/>
          </w:tcPr>
          <w:p>
            <w:pPr>
              <w:spacing w:after="20" w:line="240" w:lineRule="auto"/>
            </w:pPr>
            <w:r>
              <w:rPr>
                <w:rFonts w:ascii="Aptos" w:hAnsi="Aptos"/>
                <w:color w:val="202A33"/>
                <w:sz w:val="17"/>
              </w:rPr>
              <w:t>Short promise and a wide chat composer with prompt examples. Composer remains the dominant visual element.</w:t>
            </w:r>
          </w:p>
        </w:tc>
      </w:tr>
      <w:tr>
        <w:trPr>
          <w:cantSplit/>
        </w:trPr>
        <w:tc>
          <w:tcPr>
            <w:tcW w:type="dxa" w:w="1800"/>
            <w:tcMar>
              <w:top w:w="90" w:type="dxa"/>
              <w:start w:w="110" w:type="dxa"/>
              <w:bottom w:w="90" w:type="dxa"/>
              <w:end w:w="110" w:type="dxa"/>
            </w:tcMar>
            <w:vAlign w:val="center"/>
          </w:tcPr>
          <w:p>
            <w:pPr>
              <w:spacing w:after="20" w:line="240" w:lineRule="auto"/>
            </w:pPr>
            <w:r>
              <w:rPr>
                <w:rFonts w:ascii="Aptos" w:hAnsi="Aptos"/>
                <w:color w:val="202A33"/>
                <w:sz w:val="17"/>
              </w:rPr>
              <w:t>Public response</w:t>
            </w:r>
          </w:p>
        </w:tc>
        <w:tc>
          <w:tcPr>
            <w:tcW w:type="dxa" w:w="7560"/>
            <w:tcMar>
              <w:top w:w="90" w:type="dxa"/>
              <w:start w:w="110" w:type="dxa"/>
              <w:bottom w:w="90" w:type="dxa"/>
              <w:end w:w="110" w:type="dxa"/>
            </w:tcMar>
            <w:vAlign w:val="center"/>
          </w:tcPr>
          <w:p>
            <w:pPr>
              <w:spacing w:after="20" w:line="240" w:lineRule="auto"/>
            </w:pPr>
            <w:r>
              <w:rPr>
                <w:rFonts w:ascii="Aptos" w:hAnsi="Aptos"/>
                <w:color w:val="202A33"/>
                <w:sz w:val="17"/>
              </w:rPr>
              <w:t>Inline answer panel with limitation notice, source links if available, and invitation to register to continue/save.</w:t>
            </w:r>
          </w:p>
        </w:tc>
      </w:tr>
      <w:tr>
        <w:trPr>
          <w:cantSplit/>
        </w:trPr>
        <w:tc>
          <w:tcPr>
            <w:tcW w:type="dxa" w:w="1800"/>
            <w:shd w:fill="FAFBFC"/>
            <w:tcMar>
              <w:top w:w="90" w:type="dxa"/>
              <w:start w:w="110" w:type="dxa"/>
              <w:bottom w:w="90" w:type="dxa"/>
              <w:end w:w="110" w:type="dxa"/>
            </w:tcMar>
            <w:vAlign w:val="center"/>
          </w:tcPr>
          <w:p>
            <w:pPr>
              <w:spacing w:after="20" w:line="240" w:lineRule="auto"/>
            </w:pPr>
            <w:r>
              <w:rPr>
                <w:rFonts w:ascii="Aptos" w:hAnsi="Aptos"/>
                <w:color w:val="202A33"/>
                <w:sz w:val="17"/>
              </w:rPr>
              <w:t>News rail/grid</w:t>
            </w:r>
          </w:p>
        </w:tc>
        <w:tc>
          <w:tcPr>
            <w:tcW w:type="dxa" w:w="7560"/>
            <w:shd w:fill="FAFBFC"/>
            <w:tcMar>
              <w:top w:w="90" w:type="dxa"/>
              <w:start w:w="110" w:type="dxa"/>
              <w:bottom w:w="90" w:type="dxa"/>
              <w:end w:w="110" w:type="dxa"/>
            </w:tcMar>
            <w:vAlign w:val="center"/>
          </w:tcPr>
          <w:p>
            <w:pPr>
              <w:spacing w:after="20" w:line="240" w:lineRule="auto"/>
            </w:pPr>
            <w:r>
              <w:rPr>
                <w:rFonts w:ascii="Aptos" w:hAnsi="Aptos"/>
                <w:color w:val="202A33"/>
                <w:sz w:val="17"/>
              </w:rPr>
              <w:t>Current curated items with source, date, category, headline, and summary. “View all news” action.</w:t>
            </w:r>
          </w:p>
        </w:tc>
      </w:tr>
      <w:tr>
        <w:trPr>
          <w:cantSplit/>
        </w:trPr>
        <w:tc>
          <w:tcPr>
            <w:tcW w:type="dxa" w:w="1800"/>
            <w:tcMar>
              <w:top w:w="90" w:type="dxa"/>
              <w:start w:w="110" w:type="dxa"/>
              <w:bottom w:w="90" w:type="dxa"/>
              <w:end w:w="110" w:type="dxa"/>
            </w:tcMar>
            <w:vAlign w:val="center"/>
          </w:tcPr>
          <w:p>
            <w:pPr>
              <w:spacing w:after="20" w:line="240" w:lineRule="auto"/>
            </w:pPr>
            <w:r>
              <w:rPr>
                <w:rFonts w:ascii="Aptos" w:hAnsi="Aptos"/>
                <w:color w:val="202A33"/>
                <w:sz w:val="17"/>
              </w:rPr>
              <w:t>Platform introduction</w:t>
            </w:r>
          </w:p>
        </w:tc>
        <w:tc>
          <w:tcPr>
            <w:tcW w:type="dxa" w:w="7560"/>
            <w:tcMar>
              <w:top w:w="90" w:type="dxa"/>
              <w:start w:w="110" w:type="dxa"/>
              <w:bottom w:w="90" w:type="dxa"/>
              <w:end w:w="110" w:type="dxa"/>
            </w:tcMar>
            <w:vAlign w:val="center"/>
          </w:tcPr>
          <w:p>
            <w:pPr>
              <w:spacing w:after="20" w:line="240" w:lineRule="auto"/>
            </w:pPr>
            <w:r>
              <w:rPr>
                <w:rFonts w:ascii="Aptos" w:hAnsi="Aptos"/>
                <w:color w:val="202A33"/>
                <w:sz w:val="17"/>
              </w:rPr>
              <w:t>Below the primary chat/news experience: how BBW works, benefits by role, trust/privacy summary, and FAQ.</w:t>
            </w:r>
          </w:p>
        </w:tc>
      </w:tr>
      <w:tr>
        <w:trPr>
          <w:cantSplit/>
        </w:trPr>
        <w:tc>
          <w:tcPr>
            <w:tcW w:type="dxa" w:w="1800"/>
            <w:shd w:fill="FAFBFC"/>
            <w:tcMar>
              <w:top w:w="90" w:type="dxa"/>
              <w:start w:w="110" w:type="dxa"/>
              <w:bottom w:w="90" w:type="dxa"/>
              <w:end w:w="110" w:type="dxa"/>
            </w:tcMar>
            <w:vAlign w:val="center"/>
          </w:tcPr>
          <w:p>
            <w:pPr>
              <w:spacing w:after="20" w:line="240" w:lineRule="auto"/>
            </w:pPr>
            <w:r>
              <w:rPr>
                <w:rFonts w:ascii="Aptos" w:hAnsi="Aptos"/>
                <w:color w:val="202A33"/>
                <w:sz w:val="17"/>
              </w:rPr>
              <w:t>Footer</w:t>
            </w:r>
          </w:p>
        </w:tc>
        <w:tc>
          <w:tcPr>
            <w:tcW w:type="dxa" w:w="7560"/>
            <w:shd w:fill="FAFBFC"/>
            <w:tcMar>
              <w:top w:w="90" w:type="dxa"/>
              <w:start w:w="110" w:type="dxa"/>
              <w:bottom w:w="90" w:type="dxa"/>
              <w:end w:w="110" w:type="dxa"/>
            </w:tcMar>
            <w:vAlign w:val="center"/>
          </w:tcPr>
          <w:p>
            <w:pPr>
              <w:spacing w:after="20" w:line="240" w:lineRule="auto"/>
            </w:pPr>
            <w:r>
              <w:rPr>
                <w:rFonts w:ascii="Aptos" w:hAnsi="Aptos"/>
                <w:color w:val="202A33"/>
                <w:sz w:val="17"/>
              </w:rPr>
              <w:t>Contact, privacy, terms, accessibility, AI notice, and source/copyright statement.</w:t>
            </w:r>
          </w:p>
        </w:tc>
      </w:tr>
    </w:tbl>
    <w:p>
      <w:pPr>
        <w:spacing w:after="20"/>
      </w:pPr>
    </w:p>
    <w:p>
      <w:pPr>
        <w:pStyle w:val="Heading2"/>
        <w:keepNext/>
      </w:pPr>
      <w:r>
        <w:t>5.2 Founder dashboard</w:t>
      </w:r>
    </w:p>
    <w:tbl>
      <w:tblPr>
        <w:tblStyle w:val="TableGrid"/>
        <w:tblW w:type="dxa" w:w="9360"/>
        <w:tblLayout w:type="fixed"/>
        <w:tblLook w:firstColumn="1" w:firstRow="1" w:lastColumn="0" w:lastRow="0" w:noHBand="0" w:noVBand="1" w:val="04A0"/>
        <w:jc w:val="left"/>
        <w:tblInd w:w="0" w:type="dxa"/>
      </w:tblPr>
      <w:tblGrid>
        <w:gridCol w:w="1200"/>
        <w:gridCol w:w="8160"/>
      </w:tblGrid>
      <w:tr>
        <w:trPr>
          <w:tblHeader w:val="true"/>
          <w:cantSplit/>
        </w:trPr>
        <w:tc>
          <w:tcPr>
            <w:tcW w:type="dxa" w:w="1200"/>
            <w:tcMar>
              <w:top w:w="90" w:type="dxa"/>
              <w:start w:w="110" w:type="dxa"/>
              <w:bottom w:w="90" w:type="dxa"/>
              <w:end w:w="110" w:type="dxa"/>
            </w:tcMar>
            <w:vAlign w:val="center"/>
            <w:shd w:fill="17324D"/>
          </w:tcPr>
          <w:p>
            <w:r>
              <w:rPr>
                <w:rFonts w:ascii="Aptos" w:hAnsi="Aptos"/>
                <w:b/>
                <w:color w:val="FFFFFF"/>
                <w:sz w:val="17"/>
              </w:rPr>
              <w:t>Priority</w:t>
            </w:r>
          </w:p>
        </w:tc>
        <w:tc>
          <w:tcPr>
            <w:tcW w:type="dxa" w:w="8160"/>
            <w:tcMar>
              <w:top w:w="90" w:type="dxa"/>
              <w:start w:w="110" w:type="dxa"/>
              <w:bottom w:w="90" w:type="dxa"/>
              <w:end w:w="110" w:type="dxa"/>
            </w:tcMar>
            <w:vAlign w:val="center"/>
            <w:shd w:fill="17324D"/>
          </w:tcPr>
          <w:p>
            <w:r>
              <w:rPr>
                <w:rFonts w:ascii="Aptos" w:hAnsi="Aptos"/>
                <w:b/>
                <w:color w:val="FFFFFF"/>
                <w:sz w:val="17"/>
              </w:rPr>
              <w:t>Component</w:t>
            </w:r>
          </w:p>
        </w:tc>
      </w:tr>
      <w:tr>
        <w:trPr>
          <w:cantSplit/>
        </w:trPr>
        <w:tc>
          <w:tcPr>
            <w:tcW w:type="dxa" w:w="1200"/>
            <w:tcMar>
              <w:top w:w="90" w:type="dxa"/>
              <w:start w:w="110" w:type="dxa"/>
              <w:bottom w:w="90" w:type="dxa"/>
              <w:end w:w="110" w:type="dxa"/>
            </w:tcMar>
            <w:vAlign w:val="center"/>
          </w:tcPr>
          <w:p>
            <w:pPr>
              <w:spacing w:after="20" w:line="240" w:lineRule="auto"/>
            </w:pPr>
            <w:r>
              <w:rPr>
                <w:rFonts w:ascii="Aptos" w:hAnsi="Aptos"/>
                <w:color w:val="202A33"/>
                <w:sz w:val="17"/>
              </w:rPr>
              <w:t>1</w:t>
            </w:r>
          </w:p>
        </w:tc>
        <w:tc>
          <w:tcPr>
            <w:tcW w:type="dxa" w:w="8160"/>
            <w:tcMar>
              <w:top w:w="90" w:type="dxa"/>
              <w:start w:w="110" w:type="dxa"/>
              <w:bottom w:w="90" w:type="dxa"/>
              <w:end w:w="110" w:type="dxa"/>
            </w:tcMar>
            <w:vAlign w:val="center"/>
          </w:tcPr>
          <w:p>
            <w:pPr>
              <w:spacing w:after="20" w:line="240" w:lineRule="auto"/>
            </w:pPr>
            <w:r>
              <w:rPr>
                <w:rFonts w:ascii="Aptos" w:hAnsi="Aptos"/>
                <w:color w:val="202A33"/>
                <w:sz w:val="17"/>
              </w:rPr>
              <w:t>Company setup/status card with completeness, current stage, top priority, blocker, and next milestone.</w:t>
            </w:r>
          </w:p>
        </w:tc>
      </w:tr>
      <w:tr>
        <w:trPr>
          <w:cantSplit/>
        </w:trPr>
        <w:tc>
          <w:tcPr>
            <w:tcW w:type="dxa" w:w="1200"/>
            <w:shd w:fill="FAFBFC"/>
            <w:tcMar>
              <w:top w:w="90" w:type="dxa"/>
              <w:start w:w="110" w:type="dxa"/>
              <w:bottom w:w="90" w:type="dxa"/>
              <w:end w:w="110" w:type="dxa"/>
            </w:tcMar>
            <w:vAlign w:val="center"/>
          </w:tcPr>
          <w:p>
            <w:pPr>
              <w:spacing w:after="20" w:line="240" w:lineRule="auto"/>
            </w:pPr>
            <w:r>
              <w:rPr>
                <w:rFonts w:ascii="Aptos" w:hAnsi="Aptos"/>
                <w:color w:val="202A33"/>
                <w:sz w:val="17"/>
              </w:rPr>
              <w:t>2</w:t>
            </w:r>
          </w:p>
        </w:tc>
        <w:tc>
          <w:tcPr>
            <w:tcW w:type="dxa" w:w="8160"/>
            <w:shd w:fill="FAFBFC"/>
            <w:tcMar>
              <w:top w:w="90" w:type="dxa"/>
              <w:start w:w="110" w:type="dxa"/>
              <w:bottom w:w="90" w:type="dxa"/>
              <w:end w:w="110" w:type="dxa"/>
            </w:tcMar>
            <w:vAlign w:val="center"/>
          </w:tcPr>
          <w:p>
            <w:pPr>
              <w:spacing w:after="20" w:line="240" w:lineRule="auto"/>
            </w:pPr>
            <w:r>
              <w:rPr>
                <w:rFonts w:ascii="Aptos" w:hAnsi="Aptos"/>
                <w:color w:val="202A33"/>
                <w:sz w:val="17"/>
              </w:rPr>
              <w:t>“Ask with company context” composer with context-on/off indicator.</w:t>
            </w:r>
          </w:p>
        </w:tc>
      </w:tr>
      <w:tr>
        <w:trPr>
          <w:cantSplit/>
        </w:trPr>
        <w:tc>
          <w:tcPr>
            <w:tcW w:type="dxa" w:w="1200"/>
            <w:tcMar>
              <w:top w:w="90" w:type="dxa"/>
              <w:start w:w="110" w:type="dxa"/>
              <w:bottom w:w="90" w:type="dxa"/>
              <w:end w:w="110" w:type="dxa"/>
            </w:tcMar>
            <w:vAlign w:val="center"/>
          </w:tcPr>
          <w:p>
            <w:pPr>
              <w:spacing w:after="20" w:line="240" w:lineRule="auto"/>
            </w:pPr>
            <w:r>
              <w:rPr>
                <w:rFonts w:ascii="Aptos" w:hAnsi="Aptos"/>
                <w:color w:val="202A33"/>
                <w:sz w:val="17"/>
              </w:rPr>
              <w:t>3</w:t>
            </w:r>
          </w:p>
        </w:tc>
        <w:tc>
          <w:tcPr>
            <w:tcW w:type="dxa" w:w="8160"/>
            <w:tcMar>
              <w:top w:w="90" w:type="dxa"/>
              <w:start w:w="110" w:type="dxa"/>
              <w:bottom w:w="90" w:type="dxa"/>
              <w:end w:w="110" w:type="dxa"/>
            </w:tcMar>
            <w:vAlign w:val="center"/>
          </w:tcPr>
          <w:p>
            <w:pPr>
              <w:spacing w:after="20" w:line="240" w:lineRule="auto"/>
            </w:pPr>
            <w:r>
              <w:rPr>
                <w:rFonts w:ascii="Aptos" w:hAnsi="Aptos"/>
                <w:color w:val="202A33"/>
                <w:sz w:val="17"/>
              </w:rPr>
              <w:t>Quick actions: update status, create VC snapshot, find a provider, review shared activity.</w:t>
            </w:r>
          </w:p>
        </w:tc>
      </w:tr>
      <w:tr>
        <w:trPr>
          <w:cantSplit/>
        </w:trPr>
        <w:tc>
          <w:tcPr>
            <w:tcW w:type="dxa" w:w="1200"/>
            <w:shd w:fill="FAFBFC"/>
            <w:tcMar>
              <w:top w:w="90" w:type="dxa"/>
              <w:start w:w="110" w:type="dxa"/>
              <w:bottom w:w="90" w:type="dxa"/>
              <w:end w:w="110" w:type="dxa"/>
            </w:tcMar>
            <w:vAlign w:val="center"/>
          </w:tcPr>
          <w:p>
            <w:pPr>
              <w:spacing w:after="20" w:line="240" w:lineRule="auto"/>
            </w:pPr>
            <w:r>
              <w:rPr>
                <w:rFonts w:ascii="Aptos" w:hAnsi="Aptos"/>
                <w:color w:val="202A33"/>
                <w:sz w:val="17"/>
              </w:rPr>
              <w:t>4</w:t>
            </w:r>
          </w:p>
        </w:tc>
        <w:tc>
          <w:tcPr>
            <w:tcW w:type="dxa" w:w="8160"/>
            <w:shd w:fill="FAFBFC"/>
            <w:tcMar>
              <w:top w:w="90" w:type="dxa"/>
              <w:start w:w="110" w:type="dxa"/>
              <w:bottom w:w="90" w:type="dxa"/>
              <w:end w:w="110" w:type="dxa"/>
            </w:tcMar>
            <w:vAlign w:val="center"/>
          </w:tcPr>
          <w:p>
            <w:pPr>
              <w:spacing w:after="20" w:line="240" w:lineRule="auto"/>
            </w:pPr>
            <w:r>
              <w:rPr>
                <w:rFonts w:ascii="Aptos" w:hAnsi="Aptos"/>
                <w:color w:val="202A33"/>
                <w:sz w:val="17"/>
              </w:rPr>
              <w:t>Relevant news and saved ecosystem items.</w:t>
            </w:r>
          </w:p>
        </w:tc>
      </w:tr>
      <w:tr>
        <w:trPr>
          <w:cantSplit/>
        </w:trPr>
        <w:tc>
          <w:tcPr>
            <w:tcW w:type="dxa" w:w="1200"/>
            <w:tcMar>
              <w:top w:w="90" w:type="dxa"/>
              <w:start w:w="110" w:type="dxa"/>
              <w:bottom w:w="90" w:type="dxa"/>
              <w:end w:w="110" w:type="dxa"/>
            </w:tcMar>
            <w:vAlign w:val="center"/>
          </w:tcPr>
          <w:p>
            <w:pPr>
              <w:spacing w:after="20" w:line="240" w:lineRule="auto"/>
            </w:pPr>
            <w:r>
              <w:rPr>
                <w:rFonts w:ascii="Aptos" w:hAnsi="Aptos"/>
                <w:color w:val="202A33"/>
                <w:sz w:val="17"/>
              </w:rPr>
              <w:t>5</w:t>
            </w:r>
          </w:p>
        </w:tc>
        <w:tc>
          <w:tcPr>
            <w:tcW w:type="dxa" w:w="8160"/>
            <w:tcMar>
              <w:top w:w="90" w:type="dxa"/>
              <w:start w:w="110" w:type="dxa"/>
              <w:bottom w:w="90" w:type="dxa"/>
              <w:end w:w="110" w:type="dxa"/>
            </w:tcMar>
            <w:vAlign w:val="center"/>
          </w:tcPr>
          <w:p>
            <w:pPr>
              <w:spacing w:after="20" w:line="240" w:lineRule="auto"/>
            </w:pPr>
            <w:r>
              <w:rPr>
                <w:rFonts w:ascii="Aptos" w:hAnsi="Aptos"/>
                <w:color w:val="202A33"/>
                <w:sz w:val="17"/>
              </w:rPr>
              <w:t>Snapshot status: recipient, version, sent/viewed/expired/revoked state.</w:t>
            </w:r>
          </w:p>
        </w:tc>
      </w:tr>
    </w:tbl>
    <w:p>
      <w:pPr>
        <w:spacing w:after="20"/>
      </w:pPr>
    </w:p>
    <w:p>
      <w:pPr>
        <w:pStyle w:val="Heading2"/>
        <w:keepNext/>
      </w:pPr>
      <w:r>
        <w:t>5.3 Service Provider dashboard</w:t>
      </w:r>
    </w:p>
    <w:tbl>
      <w:tblPr>
        <w:tblStyle w:val="TableGrid"/>
        <w:tblW w:type="dxa" w:w="9360"/>
        <w:tblLayout w:type="fixed"/>
        <w:tblLook w:firstColumn="1" w:firstRow="1" w:lastColumn="0" w:lastRow="0" w:noHBand="0" w:noVBand="1" w:val="04A0"/>
        <w:jc w:val="left"/>
        <w:tblInd w:w="0" w:type="dxa"/>
      </w:tblPr>
      <w:tblGrid>
        <w:gridCol w:w="1200"/>
        <w:gridCol w:w="8160"/>
      </w:tblGrid>
      <w:tr>
        <w:trPr>
          <w:tblHeader w:val="true"/>
          <w:cantSplit/>
        </w:trPr>
        <w:tc>
          <w:tcPr>
            <w:tcW w:type="dxa" w:w="1200"/>
            <w:tcMar>
              <w:top w:w="90" w:type="dxa"/>
              <w:start w:w="110" w:type="dxa"/>
              <w:bottom w:w="90" w:type="dxa"/>
              <w:end w:w="110" w:type="dxa"/>
            </w:tcMar>
            <w:vAlign w:val="center"/>
            <w:shd w:fill="17324D"/>
          </w:tcPr>
          <w:p>
            <w:r>
              <w:rPr>
                <w:rFonts w:ascii="Aptos" w:hAnsi="Aptos"/>
                <w:b/>
                <w:color w:val="FFFFFF"/>
                <w:sz w:val="17"/>
              </w:rPr>
              <w:t>Priority</w:t>
            </w:r>
          </w:p>
        </w:tc>
        <w:tc>
          <w:tcPr>
            <w:tcW w:type="dxa" w:w="8160"/>
            <w:tcMar>
              <w:top w:w="90" w:type="dxa"/>
              <w:start w:w="110" w:type="dxa"/>
              <w:bottom w:w="90" w:type="dxa"/>
              <w:end w:w="110" w:type="dxa"/>
            </w:tcMar>
            <w:vAlign w:val="center"/>
            <w:shd w:fill="17324D"/>
          </w:tcPr>
          <w:p>
            <w:r>
              <w:rPr>
                <w:rFonts w:ascii="Aptos" w:hAnsi="Aptos"/>
                <w:b/>
                <w:color w:val="FFFFFF"/>
                <w:sz w:val="17"/>
              </w:rPr>
              <w:t>Component</w:t>
            </w:r>
          </w:p>
        </w:tc>
      </w:tr>
      <w:tr>
        <w:trPr>
          <w:cantSplit/>
        </w:trPr>
        <w:tc>
          <w:tcPr>
            <w:tcW w:type="dxa" w:w="1200"/>
            <w:tcMar>
              <w:top w:w="90" w:type="dxa"/>
              <w:start w:w="110" w:type="dxa"/>
              <w:bottom w:w="90" w:type="dxa"/>
              <w:end w:w="110" w:type="dxa"/>
            </w:tcMar>
            <w:vAlign w:val="center"/>
          </w:tcPr>
          <w:p>
            <w:pPr>
              <w:spacing w:after="20" w:line="240" w:lineRule="auto"/>
            </w:pPr>
            <w:r>
              <w:rPr>
                <w:rFonts w:ascii="Aptos" w:hAnsi="Aptos"/>
                <w:color w:val="202A33"/>
                <w:sz w:val="17"/>
              </w:rPr>
              <w:t>1</w:t>
            </w:r>
          </w:p>
        </w:tc>
        <w:tc>
          <w:tcPr>
            <w:tcW w:type="dxa" w:w="8160"/>
            <w:tcMar>
              <w:top w:w="90" w:type="dxa"/>
              <w:start w:w="110" w:type="dxa"/>
              <w:bottom w:w="90" w:type="dxa"/>
              <w:end w:w="110" w:type="dxa"/>
            </w:tcMar>
            <w:vAlign w:val="center"/>
          </w:tcPr>
          <w:p>
            <w:pPr>
              <w:spacing w:after="20" w:line="240" w:lineRule="auto"/>
            </w:pPr>
            <w:r>
              <w:rPr>
                <w:rFonts w:ascii="Aptos" w:hAnsi="Aptos"/>
                <w:color w:val="202A33"/>
                <w:sz w:val="17"/>
              </w:rPr>
              <w:t>Provider profile completeness, public visibility, service categories, and availability.</w:t>
            </w:r>
          </w:p>
        </w:tc>
      </w:tr>
      <w:tr>
        <w:trPr>
          <w:cantSplit/>
        </w:trPr>
        <w:tc>
          <w:tcPr>
            <w:tcW w:type="dxa" w:w="1200"/>
            <w:shd w:fill="FAFBFC"/>
            <w:tcMar>
              <w:top w:w="90" w:type="dxa"/>
              <w:start w:w="110" w:type="dxa"/>
              <w:bottom w:w="90" w:type="dxa"/>
              <w:end w:w="110" w:type="dxa"/>
            </w:tcMar>
            <w:vAlign w:val="center"/>
          </w:tcPr>
          <w:p>
            <w:pPr>
              <w:spacing w:after="20" w:line="240" w:lineRule="auto"/>
            </w:pPr>
            <w:r>
              <w:rPr>
                <w:rFonts w:ascii="Aptos" w:hAnsi="Aptos"/>
                <w:color w:val="202A33"/>
                <w:sz w:val="17"/>
              </w:rPr>
              <w:t>2</w:t>
            </w:r>
          </w:p>
        </w:tc>
        <w:tc>
          <w:tcPr>
            <w:tcW w:type="dxa" w:w="8160"/>
            <w:shd w:fill="FAFBFC"/>
            <w:tcMar>
              <w:top w:w="90" w:type="dxa"/>
              <w:start w:w="110" w:type="dxa"/>
              <w:bottom w:w="90" w:type="dxa"/>
              <w:end w:w="110" w:type="dxa"/>
            </w:tcMar>
            <w:vAlign w:val="center"/>
          </w:tcPr>
          <w:p>
            <w:pPr>
              <w:spacing w:after="20" w:line="240" w:lineRule="auto"/>
            </w:pPr>
            <w:r>
              <w:rPr>
                <w:rFonts w:ascii="Aptos" w:hAnsi="Aptos"/>
                <w:color w:val="202A33"/>
                <w:sz w:val="17"/>
              </w:rPr>
              <w:t>Role-aware assistant composer and suggested prompts.</w:t>
            </w:r>
          </w:p>
        </w:tc>
      </w:tr>
      <w:tr>
        <w:trPr>
          <w:cantSplit/>
        </w:trPr>
        <w:tc>
          <w:tcPr>
            <w:tcW w:type="dxa" w:w="1200"/>
            <w:tcMar>
              <w:top w:w="90" w:type="dxa"/>
              <w:start w:w="110" w:type="dxa"/>
              <w:bottom w:w="90" w:type="dxa"/>
              <w:end w:w="110" w:type="dxa"/>
            </w:tcMar>
            <w:vAlign w:val="center"/>
          </w:tcPr>
          <w:p>
            <w:pPr>
              <w:spacing w:after="20" w:line="240" w:lineRule="auto"/>
            </w:pPr>
            <w:r>
              <w:rPr>
                <w:rFonts w:ascii="Aptos" w:hAnsi="Aptos"/>
                <w:color w:val="202A33"/>
                <w:sz w:val="17"/>
              </w:rPr>
              <w:t>3</w:t>
            </w:r>
          </w:p>
        </w:tc>
        <w:tc>
          <w:tcPr>
            <w:tcW w:type="dxa" w:w="8160"/>
            <w:tcMar>
              <w:top w:w="90" w:type="dxa"/>
              <w:start w:w="110" w:type="dxa"/>
              <w:bottom w:w="90" w:type="dxa"/>
              <w:end w:w="110" w:type="dxa"/>
            </w:tcMar>
            <w:vAlign w:val="center"/>
          </w:tcPr>
          <w:p>
            <w:pPr>
              <w:spacing w:after="20" w:line="240" w:lineRule="auto"/>
            </w:pPr>
            <w:r>
              <w:rPr>
                <w:rFonts w:ascii="Aptos" w:hAnsi="Aptos"/>
                <w:color w:val="202A33"/>
                <w:sz w:val="17"/>
              </w:rPr>
              <w:t>New contact requests and saved startups/communities.</w:t>
            </w:r>
          </w:p>
        </w:tc>
      </w:tr>
      <w:tr>
        <w:trPr>
          <w:cantSplit/>
        </w:trPr>
        <w:tc>
          <w:tcPr>
            <w:tcW w:type="dxa" w:w="1200"/>
            <w:shd w:fill="FAFBFC"/>
            <w:tcMar>
              <w:top w:w="90" w:type="dxa"/>
              <w:start w:w="110" w:type="dxa"/>
              <w:bottom w:w="90" w:type="dxa"/>
              <w:end w:w="110" w:type="dxa"/>
            </w:tcMar>
            <w:vAlign w:val="center"/>
          </w:tcPr>
          <w:p>
            <w:pPr>
              <w:spacing w:after="20" w:line="240" w:lineRule="auto"/>
            </w:pPr>
            <w:r>
              <w:rPr>
                <w:rFonts w:ascii="Aptos" w:hAnsi="Aptos"/>
                <w:color w:val="202A33"/>
                <w:sz w:val="17"/>
              </w:rPr>
              <w:t>4</w:t>
            </w:r>
          </w:p>
        </w:tc>
        <w:tc>
          <w:tcPr>
            <w:tcW w:type="dxa" w:w="8160"/>
            <w:shd w:fill="FAFBFC"/>
            <w:tcMar>
              <w:top w:w="90" w:type="dxa"/>
              <w:start w:w="110" w:type="dxa"/>
              <w:bottom w:w="90" w:type="dxa"/>
              <w:end w:w="110" w:type="dxa"/>
            </w:tcMar>
            <w:vAlign w:val="center"/>
          </w:tcPr>
          <w:p>
            <w:pPr>
              <w:spacing w:after="20" w:line="240" w:lineRule="auto"/>
            </w:pPr>
            <w:r>
              <w:rPr>
                <w:rFonts w:ascii="Aptos" w:hAnsi="Aptos"/>
                <w:color w:val="202A33"/>
                <w:sz w:val="17"/>
              </w:rPr>
              <w:t>Relevant news and ecosystem discovery.</w:t>
            </w:r>
          </w:p>
        </w:tc>
      </w:tr>
    </w:tbl>
    <w:p>
      <w:pPr>
        <w:spacing w:after="20"/>
      </w:pPr>
    </w:p>
    <w:p>
      <w:pPr>
        <w:pStyle w:val="Heading2"/>
        <w:keepNext/>
      </w:pPr>
      <w:r>
        <w:t>5.4 VC dashboard</w:t>
      </w:r>
    </w:p>
    <w:tbl>
      <w:tblPr>
        <w:tblStyle w:val="TableGrid"/>
        <w:tblW w:type="dxa" w:w="9360"/>
        <w:tblLayout w:type="fixed"/>
        <w:tblLook w:firstColumn="1" w:firstRow="1" w:lastColumn="0" w:lastRow="0" w:noHBand="0" w:noVBand="1" w:val="04A0"/>
        <w:jc w:val="left"/>
        <w:tblInd w:w="0" w:type="dxa"/>
      </w:tblPr>
      <w:tblGrid>
        <w:gridCol w:w="1200"/>
        <w:gridCol w:w="8160"/>
      </w:tblGrid>
      <w:tr>
        <w:trPr>
          <w:tblHeader w:val="true"/>
          <w:cantSplit/>
        </w:trPr>
        <w:tc>
          <w:tcPr>
            <w:tcW w:type="dxa" w:w="1200"/>
            <w:tcMar>
              <w:top w:w="90" w:type="dxa"/>
              <w:start w:w="110" w:type="dxa"/>
              <w:bottom w:w="90" w:type="dxa"/>
              <w:end w:w="110" w:type="dxa"/>
            </w:tcMar>
            <w:vAlign w:val="center"/>
            <w:shd w:fill="17324D"/>
          </w:tcPr>
          <w:p>
            <w:r>
              <w:rPr>
                <w:rFonts w:ascii="Aptos" w:hAnsi="Aptos"/>
                <w:b/>
                <w:color w:val="FFFFFF"/>
                <w:sz w:val="17"/>
              </w:rPr>
              <w:t>Priority</w:t>
            </w:r>
          </w:p>
        </w:tc>
        <w:tc>
          <w:tcPr>
            <w:tcW w:type="dxa" w:w="8160"/>
            <w:tcMar>
              <w:top w:w="90" w:type="dxa"/>
              <w:start w:w="110" w:type="dxa"/>
              <w:bottom w:w="90" w:type="dxa"/>
              <w:end w:w="110" w:type="dxa"/>
            </w:tcMar>
            <w:vAlign w:val="center"/>
            <w:shd w:fill="17324D"/>
          </w:tcPr>
          <w:p>
            <w:r>
              <w:rPr>
                <w:rFonts w:ascii="Aptos" w:hAnsi="Aptos"/>
                <w:b/>
                <w:color w:val="FFFFFF"/>
                <w:sz w:val="17"/>
              </w:rPr>
              <w:t>Component</w:t>
            </w:r>
          </w:p>
        </w:tc>
      </w:tr>
      <w:tr>
        <w:trPr>
          <w:cantSplit/>
        </w:trPr>
        <w:tc>
          <w:tcPr>
            <w:tcW w:type="dxa" w:w="1200"/>
            <w:tcMar>
              <w:top w:w="90" w:type="dxa"/>
              <w:start w:w="110" w:type="dxa"/>
              <w:bottom w:w="90" w:type="dxa"/>
              <w:end w:w="110" w:type="dxa"/>
            </w:tcMar>
            <w:vAlign w:val="center"/>
          </w:tcPr>
          <w:p>
            <w:pPr>
              <w:spacing w:after="20" w:line="240" w:lineRule="auto"/>
            </w:pPr>
            <w:r>
              <w:rPr>
                <w:rFonts w:ascii="Aptos" w:hAnsi="Aptos"/>
                <w:color w:val="202A33"/>
                <w:sz w:val="17"/>
              </w:rPr>
              <w:t>1</w:t>
            </w:r>
          </w:p>
        </w:tc>
        <w:tc>
          <w:tcPr>
            <w:tcW w:type="dxa" w:w="8160"/>
            <w:tcMar>
              <w:top w:w="90" w:type="dxa"/>
              <w:start w:w="110" w:type="dxa"/>
              <w:bottom w:w="90" w:type="dxa"/>
              <w:end w:w="110" w:type="dxa"/>
            </w:tcMar>
            <w:vAlign w:val="center"/>
          </w:tcPr>
          <w:p>
            <w:pPr>
              <w:spacing w:after="20" w:line="240" w:lineRule="auto"/>
            </w:pPr>
            <w:r>
              <w:rPr>
                <w:rFonts w:ascii="Aptos" w:hAnsi="Aptos"/>
                <w:color w:val="202A33"/>
                <w:sz w:val="17"/>
              </w:rPr>
              <w:t>“Shared with me” queue showing startup, founder, snapshot date, expiry, and view status.</w:t>
            </w:r>
          </w:p>
        </w:tc>
      </w:tr>
      <w:tr>
        <w:trPr>
          <w:cantSplit/>
        </w:trPr>
        <w:tc>
          <w:tcPr>
            <w:tcW w:type="dxa" w:w="1200"/>
            <w:shd w:fill="FAFBFC"/>
            <w:tcMar>
              <w:top w:w="90" w:type="dxa"/>
              <w:start w:w="110" w:type="dxa"/>
              <w:bottom w:w="90" w:type="dxa"/>
              <w:end w:w="110" w:type="dxa"/>
            </w:tcMar>
            <w:vAlign w:val="center"/>
          </w:tcPr>
          <w:p>
            <w:pPr>
              <w:spacing w:after="20" w:line="240" w:lineRule="auto"/>
            </w:pPr>
            <w:r>
              <w:rPr>
                <w:rFonts w:ascii="Aptos" w:hAnsi="Aptos"/>
                <w:color w:val="202A33"/>
                <w:sz w:val="17"/>
              </w:rPr>
              <w:t>2</w:t>
            </w:r>
          </w:p>
        </w:tc>
        <w:tc>
          <w:tcPr>
            <w:tcW w:type="dxa" w:w="8160"/>
            <w:shd w:fill="FAFBFC"/>
            <w:tcMar>
              <w:top w:w="90" w:type="dxa"/>
              <w:start w:w="110" w:type="dxa"/>
              <w:bottom w:w="90" w:type="dxa"/>
              <w:end w:w="110" w:type="dxa"/>
            </w:tcMar>
            <w:vAlign w:val="center"/>
          </w:tcPr>
          <w:p>
            <w:pPr>
              <w:spacing w:after="20" w:line="240" w:lineRule="auto"/>
            </w:pPr>
            <w:r>
              <w:rPr>
                <w:rFonts w:ascii="Aptos" w:hAnsi="Aptos"/>
                <w:color w:val="202A33"/>
                <w:sz w:val="17"/>
              </w:rPr>
              <w:t>Fund profile and investment-preference completeness.</w:t>
            </w:r>
          </w:p>
        </w:tc>
      </w:tr>
      <w:tr>
        <w:trPr>
          <w:cantSplit/>
        </w:trPr>
        <w:tc>
          <w:tcPr>
            <w:tcW w:type="dxa" w:w="1200"/>
            <w:tcMar>
              <w:top w:w="90" w:type="dxa"/>
              <w:start w:w="110" w:type="dxa"/>
              <w:bottom w:w="90" w:type="dxa"/>
              <w:end w:w="110" w:type="dxa"/>
            </w:tcMar>
            <w:vAlign w:val="center"/>
          </w:tcPr>
          <w:p>
            <w:pPr>
              <w:spacing w:after="20" w:line="240" w:lineRule="auto"/>
            </w:pPr>
            <w:r>
              <w:rPr>
                <w:rFonts w:ascii="Aptos" w:hAnsi="Aptos"/>
                <w:color w:val="202A33"/>
                <w:sz w:val="17"/>
              </w:rPr>
              <w:t>3</w:t>
            </w:r>
          </w:p>
        </w:tc>
        <w:tc>
          <w:tcPr>
            <w:tcW w:type="dxa" w:w="8160"/>
            <w:tcMar>
              <w:top w:w="90" w:type="dxa"/>
              <w:start w:w="110" w:type="dxa"/>
              <w:bottom w:w="90" w:type="dxa"/>
              <w:end w:w="110" w:type="dxa"/>
            </w:tcMar>
            <w:vAlign w:val="center"/>
          </w:tcPr>
          <w:p>
            <w:pPr>
              <w:spacing w:after="20" w:line="240" w:lineRule="auto"/>
            </w:pPr>
            <w:r>
              <w:rPr>
                <w:rFonts w:ascii="Aptos" w:hAnsi="Aptos"/>
                <w:color w:val="202A33"/>
                <w:sz w:val="17"/>
              </w:rPr>
              <w:t>Role-aware assistant composer with fund-profile context only.</w:t>
            </w:r>
          </w:p>
        </w:tc>
      </w:tr>
      <w:tr>
        <w:trPr>
          <w:cantSplit/>
        </w:trPr>
        <w:tc>
          <w:tcPr>
            <w:tcW w:type="dxa" w:w="1200"/>
            <w:shd w:fill="FAFBFC"/>
            <w:tcMar>
              <w:top w:w="90" w:type="dxa"/>
              <w:start w:w="110" w:type="dxa"/>
              <w:bottom w:w="90" w:type="dxa"/>
              <w:end w:w="110" w:type="dxa"/>
            </w:tcMar>
            <w:vAlign w:val="center"/>
          </w:tcPr>
          <w:p>
            <w:pPr>
              <w:spacing w:after="20" w:line="240" w:lineRule="auto"/>
            </w:pPr>
            <w:r>
              <w:rPr>
                <w:rFonts w:ascii="Aptos" w:hAnsi="Aptos"/>
                <w:color w:val="202A33"/>
                <w:sz w:val="17"/>
              </w:rPr>
              <w:t>4</w:t>
            </w:r>
          </w:p>
        </w:tc>
        <w:tc>
          <w:tcPr>
            <w:tcW w:type="dxa" w:w="8160"/>
            <w:shd w:fill="FAFBFC"/>
            <w:tcMar>
              <w:top w:w="90" w:type="dxa"/>
              <w:start w:w="110" w:type="dxa"/>
              <w:bottom w:w="90" w:type="dxa"/>
              <w:end w:w="110" w:type="dxa"/>
            </w:tcMar>
            <w:vAlign w:val="center"/>
          </w:tcPr>
          <w:p>
            <w:pPr>
              <w:spacing w:after="20" w:line="240" w:lineRule="auto"/>
            </w:pPr>
            <w:r>
              <w:rPr>
                <w:rFonts w:ascii="Aptos" w:hAnsi="Aptos"/>
                <w:color w:val="202A33"/>
                <w:sz w:val="17"/>
              </w:rPr>
              <w:t>Public/member-visible startup discovery, news, saved topics, and communities.</w:t>
            </w:r>
          </w:p>
        </w:tc>
      </w:tr>
    </w:tbl>
    <w:p>
      <w:pPr>
        <w:spacing w:after="20"/>
      </w:pPr>
    </w:p>
    <w:p>
      <w:pPr>
        <w:pStyle w:val="Heading2"/>
        <w:keepNext/>
      </w:pPr>
      <w:r>
        <w:t>5.5 Management dashboard</w:t>
      </w:r>
    </w:p>
    <w:tbl>
      <w:tblPr>
        <w:tblStyle w:val="TableGrid"/>
        <w:tblW w:type="dxa" w:w="9360"/>
        <w:tblLayout w:type="fixed"/>
        <w:tblLook w:firstColumn="1" w:firstRow="1" w:lastColumn="0" w:lastRow="0" w:noHBand="0" w:noVBand="1" w:val="04A0"/>
        <w:jc w:val="left"/>
        <w:tblInd w:w="0" w:type="dxa"/>
      </w:tblPr>
      <w:tblGrid>
        <w:gridCol w:w="1800"/>
        <w:gridCol w:w="7560"/>
      </w:tblGrid>
      <w:tr>
        <w:trPr>
          <w:tblHeader w:val="true"/>
          <w:cantSplit/>
        </w:trPr>
        <w:tc>
          <w:tcPr>
            <w:tcW w:type="dxa" w:w="1800"/>
            <w:tcMar>
              <w:top w:w="90" w:type="dxa"/>
              <w:start w:w="110" w:type="dxa"/>
              <w:bottom w:w="90" w:type="dxa"/>
              <w:end w:w="110" w:type="dxa"/>
            </w:tcMar>
            <w:vAlign w:val="center"/>
            <w:shd w:fill="17324D"/>
          </w:tcPr>
          <w:p>
            <w:r>
              <w:rPr>
                <w:rFonts w:ascii="Aptos" w:hAnsi="Aptos"/>
                <w:b/>
                <w:color w:val="FFFFFF"/>
                <w:sz w:val="17"/>
              </w:rPr>
              <w:t>Area</w:t>
            </w:r>
          </w:p>
        </w:tc>
        <w:tc>
          <w:tcPr>
            <w:tcW w:type="dxa" w:w="7560"/>
            <w:tcMar>
              <w:top w:w="90" w:type="dxa"/>
              <w:start w:w="110" w:type="dxa"/>
              <w:bottom w:w="90" w:type="dxa"/>
              <w:end w:w="110" w:type="dxa"/>
            </w:tcMar>
            <w:vAlign w:val="center"/>
            <w:shd w:fill="17324D"/>
          </w:tcPr>
          <w:p>
            <w:r>
              <w:rPr>
                <w:rFonts w:ascii="Aptos" w:hAnsi="Aptos"/>
                <w:b/>
                <w:color w:val="FFFFFF"/>
                <w:sz w:val="17"/>
              </w:rPr>
              <w:t>First-view information</w:t>
            </w:r>
          </w:p>
        </w:tc>
      </w:tr>
      <w:tr>
        <w:trPr>
          <w:cantSplit/>
        </w:trPr>
        <w:tc>
          <w:tcPr>
            <w:tcW w:type="dxa" w:w="1800"/>
            <w:tcMar>
              <w:top w:w="90" w:type="dxa"/>
              <w:start w:w="110" w:type="dxa"/>
              <w:bottom w:w="90" w:type="dxa"/>
              <w:end w:w="110" w:type="dxa"/>
            </w:tcMar>
            <w:vAlign w:val="center"/>
          </w:tcPr>
          <w:p>
            <w:pPr>
              <w:spacing w:after="20" w:line="240" w:lineRule="auto"/>
            </w:pPr>
            <w:r>
              <w:rPr>
                <w:rFonts w:ascii="Aptos" w:hAnsi="Aptos"/>
                <w:color w:val="202A33"/>
                <w:sz w:val="17"/>
              </w:rPr>
              <w:t>Health</w:t>
            </w:r>
          </w:p>
        </w:tc>
        <w:tc>
          <w:tcPr>
            <w:tcW w:type="dxa" w:w="7560"/>
            <w:tcMar>
              <w:top w:w="90" w:type="dxa"/>
              <w:start w:w="110" w:type="dxa"/>
              <w:bottom w:w="90" w:type="dxa"/>
              <w:end w:w="110" w:type="dxa"/>
            </w:tcMar>
            <w:vAlign w:val="center"/>
          </w:tcPr>
          <w:p>
            <w:pPr>
              <w:spacing w:after="20" w:line="240" w:lineRule="auto"/>
            </w:pPr>
            <w:r>
              <w:rPr>
                <w:rFonts w:ascii="Aptos" w:hAnsi="Aptos"/>
                <w:color w:val="202A33"/>
                <w:sz w:val="17"/>
              </w:rPr>
              <w:t>Active users, sign-ups, chat success/error rate, news-ingestion health, email delivery, and open incidents.</w:t>
            </w:r>
          </w:p>
        </w:tc>
      </w:tr>
      <w:tr>
        <w:trPr>
          <w:cantSplit/>
        </w:trPr>
        <w:tc>
          <w:tcPr>
            <w:tcW w:type="dxa" w:w="1800"/>
            <w:shd w:fill="FAFBFC"/>
            <w:tcMar>
              <w:top w:w="90" w:type="dxa"/>
              <w:start w:w="110" w:type="dxa"/>
              <w:bottom w:w="90" w:type="dxa"/>
              <w:end w:w="110" w:type="dxa"/>
            </w:tcMar>
            <w:vAlign w:val="center"/>
          </w:tcPr>
          <w:p>
            <w:pPr>
              <w:spacing w:after="20" w:line="240" w:lineRule="auto"/>
            </w:pPr>
            <w:r>
              <w:rPr>
                <w:rFonts w:ascii="Aptos" w:hAnsi="Aptos"/>
                <w:color w:val="202A33"/>
                <w:sz w:val="17"/>
              </w:rPr>
              <w:t>Cost</w:t>
            </w:r>
          </w:p>
        </w:tc>
        <w:tc>
          <w:tcPr>
            <w:tcW w:type="dxa" w:w="7560"/>
            <w:shd w:fill="FAFBFC"/>
            <w:tcMar>
              <w:top w:w="90" w:type="dxa"/>
              <w:start w:w="110" w:type="dxa"/>
              <w:bottom w:w="90" w:type="dxa"/>
              <w:end w:w="110" w:type="dxa"/>
            </w:tcMar>
            <w:vAlign w:val="center"/>
          </w:tcPr>
          <w:p>
            <w:pPr>
              <w:spacing w:after="20" w:line="240" w:lineRule="auto"/>
            </w:pPr>
            <w:r>
              <w:rPr>
                <w:rFonts w:ascii="Aptos" w:hAnsi="Aptos"/>
                <w:color w:val="202A33"/>
                <w:sz w:val="17"/>
              </w:rPr>
              <w:t>Month-to-date actual/estimated cost, budget variance, cost by vendor, cost by environment, AI cost per active member.</w:t>
            </w:r>
          </w:p>
        </w:tc>
      </w:tr>
      <w:tr>
        <w:trPr>
          <w:cantSplit/>
        </w:trPr>
        <w:tc>
          <w:tcPr>
            <w:tcW w:type="dxa" w:w="1800"/>
            <w:tcMar>
              <w:top w:w="90" w:type="dxa"/>
              <w:start w:w="110" w:type="dxa"/>
              <w:bottom w:w="90" w:type="dxa"/>
              <w:end w:w="110" w:type="dxa"/>
            </w:tcMar>
            <w:vAlign w:val="center"/>
          </w:tcPr>
          <w:p>
            <w:pPr>
              <w:spacing w:after="20" w:line="240" w:lineRule="auto"/>
            </w:pPr>
            <w:r>
              <w:rPr>
                <w:rFonts w:ascii="Aptos" w:hAnsi="Aptos"/>
                <w:color w:val="202A33"/>
                <w:sz w:val="17"/>
              </w:rPr>
              <w:t>Moderation</w:t>
            </w:r>
          </w:p>
        </w:tc>
        <w:tc>
          <w:tcPr>
            <w:tcW w:type="dxa" w:w="7560"/>
            <w:tcMar>
              <w:top w:w="90" w:type="dxa"/>
              <w:start w:w="110" w:type="dxa"/>
              <w:bottom w:w="90" w:type="dxa"/>
              <w:end w:w="110" w:type="dxa"/>
            </w:tcMar>
            <w:vAlign w:val="center"/>
          </w:tcPr>
          <w:p>
            <w:pPr>
              <w:spacing w:after="20" w:line="240" w:lineRule="auto"/>
            </w:pPr>
            <w:r>
              <w:rPr>
                <w:rFonts w:ascii="Aptos" w:hAnsi="Aptos"/>
                <w:color w:val="202A33"/>
                <w:sz w:val="17"/>
              </w:rPr>
              <w:t>Pending reports, suspended accounts, public-profile changes requiring review, broken news sources.</w:t>
            </w:r>
          </w:p>
        </w:tc>
      </w:tr>
      <w:tr>
        <w:trPr>
          <w:cantSplit/>
        </w:trPr>
        <w:tc>
          <w:tcPr>
            <w:tcW w:type="dxa" w:w="1800"/>
            <w:shd w:fill="FAFBFC"/>
            <w:tcMar>
              <w:top w:w="90" w:type="dxa"/>
              <w:start w:w="110" w:type="dxa"/>
              <w:bottom w:w="90" w:type="dxa"/>
              <w:end w:w="110" w:type="dxa"/>
            </w:tcMar>
            <w:vAlign w:val="center"/>
          </w:tcPr>
          <w:p>
            <w:pPr>
              <w:spacing w:after="20" w:line="240" w:lineRule="auto"/>
            </w:pPr>
            <w:r>
              <w:rPr>
                <w:rFonts w:ascii="Aptos" w:hAnsi="Aptos"/>
                <w:color w:val="202A33"/>
                <w:sz w:val="17"/>
              </w:rPr>
              <w:t>Operations</w:t>
            </w:r>
          </w:p>
        </w:tc>
        <w:tc>
          <w:tcPr>
            <w:tcW w:type="dxa" w:w="7560"/>
            <w:shd w:fill="FAFBFC"/>
            <w:tcMar>
              <w:top w:w="90" w:type="dxa"/>
              <w:start w:w="110" w:type="dxa"/>
              <w:bottom w:w="90" w:type="dxa"/>
              <w:end w:w="110" w:type="dxa"/>
            </w:tcMar>
            <w:vAlign w:val="center"/>
          </w:tcPr>
          <w:p>
            <w:pPr>
              <w:spacing w:after="20" w:line="240" w:lineRule="auto"/>
            </w:pPr>
            <w:r>
              <w:rPr>
                <w:rFonts w:ascii="Aptos" w:hAnsi="Aptos"/>
                <w:color w:val="202A33"/>
                <w:sz w:val="17"/>
              </w:rPr>
              <w:t>Feature flags, quota alerts, recent privileged actions, exports, and incident kill switches.</w:t>
            </w:r>
          </w:p>
        </w:tc>
      </w:tr>
    </w:tbl>
    <w:p>
      <w:pPr>
        <w:spacing w:after="20"/>
      </w:pPr>
    </w:p>
    <w:p>
      <w:pPr>
        <w:pStyle w:val="Heading2"/>
        <w:keepNext/>
      </w:pPr>
      <w:r>
        <w:t>5.6 Responsive and empty/error states</w:t>
      </w:r>
    </w:p>
    <w:p>
      <w:pPr>
        <w:pStyle w:val="ListBullet"/>
      </w:pPr>
      <w:r>
        <w:t>Mobile home stacks chat above news; the composer remains visible without requiring horizontal scrolling.</w:t>
      </w:r>
    </w:p>
    <w:p>
      <w:pPr>
        <w:pStyle w:val="ListBullet"/>
      </w:pPr>
      <w:r>
        <w:t>Dashboards reduce to one column; primary action remains within the first screen.</w:t>
      </w:r>
    </w:p>
    <w:p>
      <w:pPr>
        <w:pStyle w:val="ListBullet"/>
      </w:pPr>
      <w:r>
        <w:t>Each list has loading, empty, error, permission-denied, and retry states.</w:t>
      </w:r>
    </w:p>
    <w:p>
      <w:pPr>
        <w:pStyle w:val="ListBullet"/>
      </w:pPr>
      <w:r>
        <w:t>Snapshot pages show expired/revoked/unauthorized states without revealing the startup name or other metadata.</w:t>
      </w:r>
    </w:p>
    <w:p>
      <w:pPr>
        <w:pStyle w:val="ListBullet"/>
      </w:pPr>
      <w:r>
        <w:t>Forms preserve entered data on validation failure and clearly distinguish required from optional fields.</w:t>
      </w:r>
    </w:p>
    <w:p>
      <w:pPr>
        <w:pStyle w:val="Heading1"/>
        <w:keepNext/>
      </w:pPr>
      <w:r>
        <w:t>6. Technical architecture and platform choice</w:t>
      </w:r>
    </w:p>
    <w:p>
      <w:pPr>
        <w:pStyle w:val="Heading2"/>
        <w:keepNext/>
      </w:pPr>
      <w:r>
        <w:t>6.1 Recommended Stage 1 architecture</w:t>
      </w:r>
    </w:p>
    <w:tbl>
      <w:tblPr>
        <w:tblStyle w:val="TableGrid"/>
        <w:tblW w:type="dxa" w:w="9360"/>
        <w:tblLayout w:type="fixed"/>
        <w:tblLook w:firstColumn="1" w:firstRow="1" w:lastColumn="0" w:lastRow="0" w:noHBand="0" w:noVBand="1" w:val="04A0"/>
        <w:jc w:val="left"/>
        <w:tblInd w:w="0" w:type="dxa"/>
      </w:tblPr>
      <w:tblGrid>
        <w:gridCol w:w="1700"/>
        <w:gridCol w:w="3900"/>
        <w:gridCol w:w="3760"/>
      </w:tblGrid>
      <w:tr>
        <w:trPr>
          <w:tblHeader w:val="true"/>
          <w:cantSplit/>
        </w:trPr>
        <w:tc>
          <w:tcPr>
            <w:tcW w:type="dxa" w:w="1700"/>
            <w:tcMar>
              <w:top w:w="90" w:type="dxa"/>
              <w:start w:w="110" w:type="dxa"/>
              <w:bottom w:w="90" w:type="dxa"/>
              <w:end w:w="110" w:type="dxa"/>
            </w:tcMar>
            <w:vAlign w:val="center"/>
            <w:shd w:fill="17324D"/>
          </w:tcPr>
          <w:p>
            <w:r>
              <w:rPr>
                <w:rFonts w:ascii="Aptos" w:hAnsi="Aptos"/>
                <w:b/>
                <w:color w:val="FFFFFF"/>
                <w:sz w:val="16"/>
              </w:rPr>
              <w:t>Layer</w:t>
            </w:r>
          </w:p>
        </w:tc>
        <w:tc>
          <w:tcPr>
            <w:tcW w:type="dxa" w:w="3900"/>
            <w:tcMar>
              <w:top w:w="90" w:type="dxa"/>
              <w:start w:w="110" w:type="dxa"/>
              <w:bottom w:w="90" w:type="dxa"/>
              <w:end w:w="110" w:type="dxa"/>
            </w:tcMar>
            <w:vAlign w:val="center"/>
            <w:shd w:fill="17324D"/>
          </w:tcPr>
          <w:p>
            <w:r>
              <w:rPr>
                <w:rFonts w:ascii="Aptos" w:hAnsi="Aptos"/>
                <w:b/>
                <w:color w:val="FFFFFF"/>
                <w:sz w:val="16"/>
              </w:rPr>
              <w:t>Recommendation</w:t>
            </w:r>
          </w:p>
        </w:tc>
        <w:tc>
          <w:tcPr>
            <w:tcW w:type="dxa" w:w="3760"/>
            <w:tcMar>
              <w:top w:w="90" w:type="dxa"/>
              <w:start w:w="110" w:type="dxa"/>
              <w:bottom w:w="90" w:type="dxa"/>
              <w:end w:w="110" w:type="dxa"/>
            </w:tcMar>
            <w:vAlign w:val="center"/>
            <w:shd w:fill="17324D"/>
          </w:tcPr>
          <w:p>
            <w:r>
              <w:rPr>
                <w:rFonts w:ascii="Aptos" w:hAnsi="Aptos"/>
                <w:b/>
                <w:color w:val="FFFFFF"/>
                <w:sz w:val="16"/>
              </w:rPr>
              <w:t>Extension boundary</w:t>
            </w:r>
          </w:p>
        </w:tc>
      </w:tr>
      <w:tr>
        <w:trPr>
          <w:cantSplit/>
        </w:trPr>
        <w:tc>
          <w:tcPr>
            <w:tcW w:type="dxa" w:w="1700"/>
            <w:tcMar>
              <w:top w:w="90" w:type="dxa"/>
              <w:start w:w="110" w:type="dxa"/>
              <w:bottom w:w="90" w:type="dxa"/>
              <w:end w:w="110" w:type="dxa"/>
            </w:tcMar>
            <w:vAlign w:val="center"/>
          </w:tcPr>
          <w:p>
            <w:pPr>
              <w:spacing w:after="20" w:line="240" w:lineRule="auto"/>
            </w:pPr>
            <w:r>
              <w:rPr>
                <w:rFonts w:ascii="Aptos" w:hAnsi="Aptos"/>
                <w:color w:val="202A33"/>
                <w:sz w:val="16"/>
              </w:rPr>
              <w:t>Web apps</w:t>
            </w:r>
          </w:p>
        </w:tc>
        <w:tc>
          <w:tcPr>
            <w:tcW w:type="dxa" w:w="3900"/>
            <w:tcMar>
              <w:top w:w="90" w:type="dxa"/>
              <w:start w:w="110" w:type="dxa"/>
              <w:bottom w:w="90" w:type="dxa"/>
              <w:end w:w="110" w:type="dxa"/>
            </w:tcMar>
            <w:vAlign w:val="center"/>
          </w:tcPr>
          <w:p>
            <w:pPr>
              <w:spacing w:after="20" w:line="240" w:lineRule="auto"/>
            </w:pPr>
            <w:r>
              <w:rPr>
                <w:rFonts w:ascii="Aptos" w:hAnsi="Aptos"/>
                <w:color w:val="202A33"/>
                <w:sz w:val="16"/>
              </w:rPr>
              <w:t>Two Next.js applications: public/member platform and management platform; deploy separately on Vercel.</w:t>
            </w:r>
          </w:p>
        </w:tc>
        <w:tc>
          <w:tcPr>
            <w:tcW w:type="dxa" w:w="3760"/>
            <w:tcMar>
              <w:top w:w="90" w:type="dxa"/>
              <w:start w:w="110" w:type="dxa"/>
              <w:bottom w:w="90" w:type="dxa"/>
              <w:end w:w="110" w:type="dxa"/>
            </w:tcMar>
            <w:vAlign w:val="center"/>
          </w:tcPr>
          <w:p>
            <w:pPr>
              <w:spacing w:after="20" w:line="240" w:lineRule="auto"/>
            </w:pPr>
            <w:r>
              <w:rPr>
                <w:rFonts w:ascii="Aptos" w:hAnsi="Aptos"/>
                <w:color w:val="202A33"/>
                <w:sz w:val="16"/>
              </w:rPr>
              <w:t>Shared design system and typed API client; deployments, routes, sessions, and release permissions remain separate.</w:t>
            </w:r>
          </w:p>
        </w:tc>
      </w:tr>
      <w:tr>
        <w:trPr>
          <w:cantSplit/>
        </w:trPr>
        <w:tc>
          <w:tcPr>
            <w:tcW w:type="dxa" w:w="1700"/>
            <w:shd w:fill="FAFBFC"/>
            <w:tcMar>
              <w:top w:w="90" w:type="dxa"/>
              <w:start w:w="110" w:type="dxa"/>
              <w:bottom w:w="90" w:type="dxa"/>
              <w:end w:w="110" w:type="dxa"/>
            </w:tcMar>
            <w:vAlign w:val="center"/>
          </w:tcPr>
          <w:p>
            <w:pPr>
              <w:spacing w:after="20" w:line="240" w:lineRule="auto"/>
            </w:pPr>
            <w:r>
              <w:rPr>
                <w:rFonts w:ascii="Aptos" w:hAnsi="Aptos"/>
                <w:color w:val="202A33"/>
                <w:sz w:val="16"/>
              </w:rPr>
              <w:t>Application services</w:t>
            </w:r>
          </w:p>
        </w:tc>
        <w:tc>
          <w:tcPr>
            <w:tcW w:type="dxa" w:w="3900"/>
            <w:shd w:fill="FAFBFC"/>
            <w:tcMar>
              <w:top w:w="90" w:type="dxa"/>
              <w:start w:w="110" w:type="dxa"/>
              <w:bottom w:w="90" w:type="dxa"/>
              <w:end w:w="110" w:type="dxa"/>
            </w:tcMar>
            <w:vAlign w:val="center"/>
          </w:tcPr>
          <w:p>
            <w:pPr>
              <w:spacing w:after="20" w:line="240" w:lineRule="auto"/>
            </w:pPr>
            <w:r>
              <w:rPr>
                <w:rFonts w:ascii="Aptos" w:hAnsi="Aptos"/>
                <w:color w:val="202A33"/>
                <w:sz w:val="16"/>
              </w:rPr>
              <w:t>Server-side API layer within Next.js initially, organized by domain modules.</w:t>
            </w:r>
          </w:p>
        </w:tc>
        <w:tc>
          <w:tcPr>
            <w:tcW w:type="dxa" w:w="3760"/>
            <w:shd w:fill="FAFBFC"/>
            <w:tcMar>
              <w:top w:w="90" w:type="dxa"/>
              <w:start w:w="110" w:type="dxa"/>
              <w:bottom w:w="90" w:type="dxa"/>
              <w:end w:w="110" w:type="dxa"/>
            </w:tcMar>
            <w:vAlign w:val="center"/>
          </w:tcPr>
          <w:p>
            <w:pPr>
              <w:spacing w:after="20" w:line="240" w:lineRule="auto"/>
            </w:pPr>
            <w:r>
              <w:rPr>
                <w:rFonts w:ascii="Aptos" w:hAnsi="Aptos"/>
                <w:color w:val="202A33"/>
                <w:sz w:val="16"/>
              </w:rPr>
              <w:t>Extract heavy jobs or integrations into workers/services without rewriting the UI.</w:t>
            </w:r>
          </w:p>
        </w:tc>
      </w:tr>
      <w:tr>
        <w:trPr>
          <w:cantSplit/>
        </w:trPr>
        <w:tc>
          <w:tcPr>
            <w:tcW w:type="dxa" w:w="1700"/>
            <w:tcMar>
              <w:top w:w="90" w:type="dxa"/>
              <w:start w:w="110" w:type="dxa"/>
              <w:bottom w:w="90" w:type="dxa"/>
              <w:end w:w="110" w:type="dxa"/>
            </w:tcMar>
            <w:vAlign w:val="center"/>
          </w:tcPr>
          <w:p>
            <w:pPr>
              <w:spacing w:after="20" w:line="240" w:lineRule="auto"/>
            </w:pPr>
            <w:r>
              <w:rPr>
                <w:rFonts w:ascii="Aptos" w:hAnsi="Aptos"/>
                <w:color w:val="202A33"/>
                <w:sz w:val="16"/>
              </w:rPr>
              <w:t>Data/Auth/Storage</w:t>
            </w:r>
          </w:p>
        </w:tc>
        <w:tc>
          <w:tcPr>
            <w:tcW w:type="dxa" w:w="3900"/>
            <w:tcMar>
              <w:top w:w="90" w:type="dxa"/>
              <w:start w:w="110" w:type="dxa"/>
              <w:bottom w:w="90" w:type="dxa"/>
              <w:end w:w="110" w:type="dxa"/>
            </w:tcMar>
            <w:vAlign w:val="center"/>
          </w:tcPr>
          <w:p>
            <w:pPr>
              <w:spacing w:after="20" w:line="240" w:lineRule="auto"/>
            </w:pPr>
            <w:r>
              <w:rPr>
                <w:rFonts w:ascii="Aptos" w:hAnsi="Aptos"/>
                <w:color w:val="202A33"/>
                <w:sz w:val="16"/>
              </w:rPr>
              <w:t>Supabase managed Postgres, Auth, and Storage with row-level security.</w:t>
            </w:r>
          </w:p>
        </w:tc>
        <w:tc>
          <w:tcPr>
            <w:tcW w:type="dxa" w:w="3760"/>
            <w:tcMar>
              <w:top w:w="90" w:type="dxa"/>
              <w:start w:w="110" w:type="dxa"/>
              <w:bottom w:w="90" w:type="dxa"/>
              <w:end w:w="110" w:type="dxa"/>
            </w:tcMar>
            <w:vAlign w:val="center"/>
          </w:tcPr>
          <w:p>
            <w:pPr>
              <w:spacing w:after="20" w:line="240" w:lineRule="auto"/>
            </w:pPr>
            <w:r>
              <w:rPr>
                <w:rFonts w:ascii="Aptos" w:hAnsi="Aptos"/>
                <w:color w:val="202A33"/>
                <w:sz w:val="16"/>
              </w:rPr>
              <w:t>Standard Postgres schema, migration scripts, and provider interfaces reduce lock-in.</w:t>
            </w:r>
          </w:p>
        </w:tc>
      </w:tr>
      <w:tr>
        <w:trPr>
          <w:cantSplit/>
        </w:trPr>
        <w:tc>
          <w:tcPr>
            <w:tcW w:type="dxa" w:w="1700"/>
            <w:shd w:fill="FAFBFC"/>
            <w:tcMar>
              <w:top w:w="90" w:type="dxa"/>
              <w:start w:w="110" w:type="dxa"/>
              <w:bottom w:w="90" w:type="dxa"/>
              <w:end w:w="110" w:type="dxa"/>
            </w:tcMar>
            <w:vAlign w:val="center"/>
          </w:tcPr>
          <w:p>
            <w:pPr>
              <w:spacing w:after="20" w:line="240" w:lineRule="auto"/>
            </w:pPr>
            <w:r>
              <w:rPr>
                <w:rFonts w:ascii="Aptos" w:hAnsi="Aptos"/>
                <w:color w:val="202A33"/>
                <w:sz w:val="16"/>
              </w:rPr>
              <w:t>AI</w:t>
            </w:r>
          </w:p>
        </w:tc>
        <w:tc>
          <w:tcPr>
            <w:tcW w:type="dxa" w:w="3900"/>
            <w:shd w:fill="FAFBFC"/>
            <w:tcMar>
              <w:top w:w="90" w:type="dxa"/>
              <w:start w:w="110" w:type="dxa"/>
              <w:bottom w:w="90" w:type="dxa"/>
              <w:end w:w="110" w:type="dxa"/>
            </w:tcMar>
            <w:vAlign w:val="center"/>
          </w:tcPr>
          <w:p>
            <w:pPr>
              <w:spacing w:after="20" w:line="240" w:lineRule="auto"/>
            </w:pPr>
            <w:r>
              <w:rPr>
                <w:rFonts w:ascii="Aptos" w:hAnsi="Aptos"/>
                <w:color w:val="202A33"/>
                <w:sz w:val="16"/>
              </w:rPr>
              <w:t>Provider adapter initially configured for OpenAI; structured context builder and safety layer.</w:t>
            </w:r>
          </w:p>
        </w:tc>
        <w:tc>
          <w:tcPr>
            <w:tcW w:type="dxa" w:w="3760"/>
            <w:shd w:fill="FAFBFC"/>
            <w:tcMar>
              <w:top w:w="90" w:type="dxa"/>
              <w:start w:w="110" w:type="dxa"/>
              <w:bottom w:w="90" w:type="dxa"/>
              <w:end w:w="110" w:type="dxa"/>
            </w:tcMar>
            <w:vAlign w:val="center"/>
          </w:tcPr>
          <w:p>
            <w:pPr>
              <w:spacing w:after="20" w:line="240" w:lineRule="auto"/>
            </w:pPr>
            <w:r>
              <w:rPr>
                <w:rFonts w:ascii="Aptos" w:hAnsi="Aptos"/>
                <w:color w:val="202A33"/>
                <w:sz w:val="16"/>
              </w:rPr>
              <w:t>Replace or add models/private inference in Stage 3.</w:t>
            </w:r>
          </w:p>
        </w:tc>
      </w:tr>
      <w:tr>
        <w:trPr>
          <w:cantSplit/>
        </w:trPr>
        <w:tc>
          <w:tcPr>
            <w:tcW w:type="dxa" w:w="1700"/>
            <w:tcMar>
              <w:top w:w="90" w:type="dxa"/>
              <w:start w:w="110" w:type="dxa"/>
              <w:bottom w:w="90" w:type="dxa"/>
              <w:end w:w="110" w:type="dxa"/>
            </w:tcMar>
            <w:vAlign w:val="center"/>
          </w:tcPr>
          <w:p>
            <w:pPr>
              <w:spacing w:after="20" w:line="240" w:lineRule="auto"/>
            </w:pPr>
            <w:r>
              <w:rPr>
                <w:rFonts w:ascii="Aptos" w:hAnsi="Aptos"/>
                <w:color w:val="202A33"/>
                <w:sz w:val="16"/>
              </w:rPr>
              <w:t>News</w:t>
            </w:r>
          </w:p>
        </w:tc>
        <w:tc>
          <w:tcPr>
            <w:tcW w:type="dxa" w:w="3900"/>
            <w:tcMar>
              <w:top w:w="90" w:type="dxa"/>
              <w:start w:w="110" w:type="dxa"/>
              <w:bottom w:w="90" w:type="dxa"/>
              <w:end w:w="110" w:type="dxa"/>
            </w:tcMar>
            <w:vAlign w:val="center"/>
          </w:tcPr>
          <w:p>
            <w:pPr>
              <w:spacing w:after="20" w:line="240" w:lineRule="auto"/>
            </w:pPr>
            <w:r>
              <w:rPr>
                <w:rFonts w:ascii="Aptos" w:hAnsi="Aptos"/>
                <w:color w:val="202A33"/>
                <w:sz w:val="16"/>
              </w:rPr>
              <w:t>Manual/editorial entry plus adapter for approved feeds/APIs.</w:t>
            </w:r>
          </w:p>
        </w:tc>
        <w:tc>
          <w:tcPr>
            <w:tcW w:type="dxa" w:w="3760"/>
            <w:tcMar>
              <w:top w:w="90" w:type="dxa"/>
              <w:start w:w="110" w:type="dxa"/>
              <w:bottom w:w="90" w:type="dxa"/>
              <w:end w:w="110" w:type="dxa"/>
            </w:tcMar>
            <w:vAlign w:val="center"/>
          </w:tcPr>
          <w:p>
            <w:pPr>
              <w:spacing w:after="20" w:line="240" w:lineRule="auto"/>
            </w:pPr>
            <w:r>
              <w:rPr>
                <w:rFonts w:ascii="Aptos" w:hAnsi="Aptos"/>
                <w:color w:val="202A33"/>
                <w:sz w:val="16"/>
              </w:rPr>
              <w:t>Add ingestion workers, deduplication, and ranking later.</w:t>
            </w:r>
          </w:p>
        </w:tc>
      </w:tr>
      <w:tr>
        <w:trPr>
          <w:cantSplit/>
        </w:trPr>
        <w:tc>
          <w:tcPr>
            <w:tcW w:type="dxa" w:w="1700"/>
            <w:shd w:fill="FAFBFC"/>
            <w:tcMar>
              <w:top w:w="90" w:type="dxa"/>
              <w:start w:w="110" w:type="dxa"/>
              <w:bottom w:w="90" w:type="dxa"/>
              <w:end w:w="110" w:type="dxa"/>
            </w:tcMar>
            <w:vAlign w:val="center"/>
          </w:tcPr>
          <w:p>
            <w:pPr>
              <w:spacing w:after="20" w:line="240" w:lineRule="auto"/>
            </w:pPr>
            <w:r>
              <w:rPr>
                <w:rFonts w:ascii="Aptos" w:hAnsi="Aptos"/>
                <w:color w:val="202A33"/>
                <w:sz w:val="16"/>
              </w:rPr>
              <w:t>Email</w:t>
            </w:r>
          </w:p>
        </w:tc>
        <w:tc>
          <w:tcPr>
            <w:tcW w:type="dxa" w:w="3900"/>
            <w:shd w:fill="FAFBFC"/>
            <w:tcMar>
              <w:top w:w="90" w:type="dxa"/>
              <w:start w:w="110" w:type="dxa"/>
              <w:bottom w:w="90" w:type="dxa"/>
              <w:end w:w="110" w:type="dxa"/>
            </w:tcMar>
            <w:vAlign w:val="center"/>
          </w:tcPr>
          <w:p>
            <w:pPr>
              <w:spacing w:after="20" w:line="240" w:lineRule="auto"/>
            </w:pPr>
            <w:r>
              <w:rPr>
                <w:rFonts w:ascii="Aptos" w:hAnsi="Aptos"/>
                <w:color w:val="202A33"/>
                <w:sz w:val="16"/>
              </w:rPr>
              <w:t>Transactional provider such as Resend behind an email adapter.</w:t>
            </w:r>
          </w:p>
        </w:tc>
        <w:tc>
          <w:tcPr>
            <w:tcW w:type="dxa" w:w="3760"/>
            <w:shd w:fill="FAFBFC"/>
            <w:tcMar>
              <w:top w:w="90" w:type="dxa"/>
              <w:start w:w="110" w:type="dxa"/>
              <w:bottom w:w="90" w:type="dxa"/>
              <w:end w:w="110" w:type="dxa"/>
            </w:tcMar>
            <w:vAlign w:val="center"/>
          </w:tcPr>
          <w:p>
            <w:pPr>
              <w:spacing w:after="20" w:line="240" w:lineRule="auto"/>
            </w:pPr>
            <w:r>
              <w:rPr>
                <w:rFonts w:ascii="Aptos" w:hAnsi="Aptos"/>
                <w:color w:val="202A33"/>
                <w:sz w:val="16"/>
              </w:rPr>
              <w:t>Switch vendor without changing domain workflows.</w:t>
            </w:r>
          </w:p>
        </w:tc>
      </w:tr>
      <w:tr>
        <w:trPr>
          <w:cantSplit/>
        </w:trPr>
        <w:tc>
          <w:tcPr>
            <w:tcW w:type="dxa" w:w="1700"/>
            <w:tcMar>
              <w:top w:w="90" w:type="dxa"/>
              <w:start w:w="110" w:type="dxa"/>
              <w:bottom w:w="90" w:type="dxa"/>
              <w:end w:w="110" w:type="dxa"/>
            </w:tcMar>
            <w:vAlign w:val="center"/>
          </w:tcPr>
          <w:p>
            <w:pPr>
              <w:spacing w:after="20" w:line="240" w:lineRule="auto"/>
            </w:pPr>
            <w:r>
              <w:rPr>
                <w:rFonts w:ascii="Aptos" w:hAnsi="Aptos"/>
                <w:color w:val="202A33"/>
                <w:sz w:val="16"/>
              </w:rPr>
              <w:t>Observability</w:t>
            </w:r>
          </w:p>
        </w:tc>
        <w:tc>
          <w:tcPr>
            <w:tcW w:type="dxa" w:w="3900"/>
            <w:tcMar>
              <w:top w:w="90" w:type="dxa"/>
              <w:start w:w="110" w:type="dxa"/>
              <w:bottom w:w="90" w:type="dxa"/>
              <w:end w:w="110" w:type="dxa"/>
            </w:tcMar>
            <w:vAlign w:val="center"/>
          </w:tcPr>
          <w:p>
            <w:pPr>
              <w:spacing w:after="20" w:line="240" w:lineRule="auto"/>
            </w:pPr>
            <w:r>
              <w:rPr>
                <w:rFonts w:ascii="Aptos" w:hAnsi="Aptos"/>
                <w:color w:val="202A33"/>
                <w:sz w:val="16"/>
              </w:rPr>
              <w:t>Structured logs, error tracking, analytics events, usage ledger, and vendor-cost ledger.</w:t>
            </w:r>
          </w:p>
        </w:tc>
        <w:tc>
          <w:tcPr>
            <w:tcW w:type="dxa" w:w="3760"/>
            <w:tcMar>
              <w:top w:w="90" w:type="dxa"/>
              <w:start w:w="110" w:type="dxa"/>
              <w:bottom w:w="90" w:type="dxa"/>
              <w:end w:w="110" w:type="dxa"/>
            </w:tcMar>
            <w:vAlign w:val="center"/>
          </w:tcPr>
          <w:p>
            <w:pPr>
              <w:spacing w:after="20" w:line="240" w:lineRule="auto"/>
            </w:pPr>
            <w:r>
              <w:rPr>
                <w:rFonts w:ascii="Aptos" w:hAnsi="Aptos"/>
                <w:color w:val="202A33"/>
                <w:sz w:val="16"/>
              </w:rPr>
              <w:t>Feed later BI, billing, and forecasting systems.</w:t>
            </w:r>
          </w:p>
        </w:tc>
      </w:tr>
    </w:tbl>
    <w:p>
      <w:pPr>
        <w:spacing w:after="20"/>
      </w:pPr>
    </w:p>
    <w:p>
      <w:pPr>
        <w:pStyle w:val="Heading2"/>
        <w:keepNext/>
      </w:pPr>
      <w:r>
        <w:t>6.2 Supabase/Vercel versus AWS-first</w:t>
      </w:r>
    </w:p>
    <w:tbl>
      <w:tblPr>
        <w:tblStyle w:val="TableGrid"/>
        <w:tblW w:type="dxa" w:w="9360"/>
        <w:tblLayout w:type="fixed"/>
        <w:tblLook w:firstColumn="1" w:firstRow="1" w:lastColumn="0" w:lastRow="0" w:noHBand="0" w:noVBand="1" w:val="04A0"/>
        <w:jc w:val="left"/>
        <w:tblInd w:w="0" w:type="dxa"/>
      </w:tblPr>
      <w:tblGrid>
        <w:gridCol w:w="1650"/>
        <w:gridCol w:w="3850"/>
        <w:gridCol w:w="3860"/>
      </w:tblGrid>
      <w:tr>
        <w:trPr>
          <w:tblHeader w:val="true"/>
          <w:cantSplit/>
        </w:trPr>
        <w:tc>
          <w:tcPr>
            <w:tcW w:type="dxa" w:w="1650"/>
            <w:tcMar>
              <w:top w:w="90" w:type="dxa"/>
              <w:start w:w="110" w:type="dxa"/>
              <w:bottom w:w="90" w:type="dxa"/>
              <w:end w:w="110" w:type="dxa"/>
            </w:tcMar>
            <w:vAlign w:val="center"/>
            <w:shd w:fill="17324D"/>
          </w:tcPr>
          <w:p>
            <w:r>
              <w:rPr>
                <w:rFonts w:ascii="Aptos" w:hAnsi="Aptos"/>
                <w:b/>
                <w:color w:val="FFFFFF"/>
                <w:sz w:val="16"/>
              </w:rPr>
              <w:t>Criterion</w:t>
            </w:r>
          </w:p>
        </w:tc>
        <w:tc>
          <w:tcPr>
            <w:tcW w:type="dxa" w:w="3850"/>
            <w:tcMar>
              <w:top w:w="90" w:type="dxa"/>
              <w:start w:w="110" w:type="dxa"/>
              <w:bottom w:w="90" w:type="dxa"/>
              <w:end w:w="110" w:type="dxa"/>
            </w:tcMar>
            <w:vAlign w:val="center"/>
            <w:shd w:fill="17324D"/>
          </w:tcPr>
          <w:p>
            <w:r>
              <w:rPr>
                <w:rFonts w:ascii="Aptos" w:hAnsi="Aptos"/>
                <w:b/>
                <w:color w:val="FFFFFF"/>
                <w:sz w:val="16"/>
              </w:rPr>
              <w:t>Supabase + Vercel</w:t>
            </w:r>
          </w:p>
        </w:tc>
        <w:tc>
          <w:tcPr>
            <w:tcW w:type="dxa" w:w="3860"/>
            <w:tcMar>
              <w:top w:w="90" w:type="dxa"/>
              <w:start w:w="110" w:type="dxa"/>
              <w:bottom w:w="90" w:type="dxa"/>
              <w:end w:w="110" w:type="dxa"/>
            </w:tcMar>
            <w:vAlign w:val="center"/>
            <w:shd w:fill="17324D"/>
          </w:tcPr>
          <w:p>
            <w:r>
              <w:rPr>
                <w:rFonts w:ascii="Aptos" w:hAnsi="Aptos"/>
                <w:b/>
                <w:color w:val="FFFFFF"/>
                <w:sz w:val="16"/>
              </w:rPr>
              <w:t>AWS-first</w:t>
            </w:r>
          </w:p>
        </w:tc>
      </w:tr>
      <w:tr>
        <w:trPr>
          <w:cantSplit/>
        </w:trPr>
        <w:tc>
          <w:tcPr>
            <w:tcW w:type="dxa" w:w="1650"/>
            <w:tcMar>
              <w:top w:w="90" w:type="dxa"/>
              <w:start w:w="110" w:type="dxa"/>
              <w:bottom w:w="90" w:type="dxa"/>
              <w:end w:w="110" w:type="dxa"/>
            </w:tcMar>
            <w:vAlign w:val="center"/>
          </w:tcPr>
          <w:p>
            <w:pPr>
              <w:spacing w:after="20" w:line="240" w:lineRule="auto"/>
            </w:pPr>
            <w:r>
              <w:rPr>
                <w:rFonts w:ascii="Aptos" w:hAnsi="Aptos"/>
                <w:color w:val="202A33"/>
                <w:sz w:val="16"/>
              </w:rPr>
              <w:t>Stage 1 delivery speed</w:t>
            </w:r>
          </w:p>
        </w:tc>
        <w:tc>
          <w:tcPr>
            <w:tcW w:type="dxa" w:w="3850"/>
            <w:tcMar>
              <w:top w:w="90" w:type="dxa"/>
              <w:start w:w="110" w:type="dxa"/>
              <w:bottom w:w="90" w:type="dxa"/>
              <w:end w:w="110" w:type="dxa"/>
            </w:tcMar>
            <w:vAlign w:val="center"/>
          </w:tcPr>
          <w:p>
            <w:pPr>
              <w:spacing w:after="20" w:line="240" w:lineRule="auto"/>
            </w:pPr>
            <w:r>
              <w:rPr>
                <w:rFonts w:ascii="Aptos" w:hAnsi="Aptos"/>
                <w:color w:val="202A33"/>
                <w:sz w:val="16"/>
              </w:rPr>
              <w:t>Strong: integrated auth, Postgres, storage, previews, and low operational setup.</w:t>
            </w:r>
          </w:p>
        </w:tc>
        <w:tc>
          <w:tcPr>
            <w:tcW w:type="dxa" w:w="3860"/>
            <w:tcMar>
              <w:top w:w="90" w:type="dxa"/>
              <w:start w:w="110" w:type="dxa"/>
              <w:bottom w:w="90" w:type="dxa"/>
              <w:end w:w="110" w:type="dxa"/>
            </w:tcMar>
            <w:vAlign w:val="center"/>
          </w:tcPr>
          <w:p>
            <w:pPr>
              <w:spacing w:after="20" w:line="240" w:lineRule="auto"/>
            </w:pPr>
            <w:r>
              <w:rPr>
                <w:rFonts w:ascii="Aptos" w:hAnsi="Aptos"/>
                <w:color w:val="202A33"/>
                <w:sz w:val="16"/>
              </w:rPr>
              <w:t>Slower: more infrastructure, identity, networking, deployment, monitoring, and security decisions.</w:t>
            </w:r>
          </w:p>
        </w:tc>
      </w:tr>
      <w:tr>
        <w:trPr>
          <w:cantSplit/>
        </w:trPr>
        <w:tc>
          <w:tcPr>
            <w:tcW w:type="dxa" w:w="1650"/>
            <w:shd w:fill="FAFBFC"/>
            <w:tcMar>
              <w:top w:w="90" w:type="dxa"/>
              <w:start w:w="110" w:type="dxa"/>
              <w:bottom w:w="90" w:type="dxa"/>
              <w:end w:w="110" w:type="dxa"/>
            </w:tcMar>
            <w:vAlign w:val="center"/>
          </w:tcPr>
          <w:p>
            <w:pPr>
              <w:spacing w:after="20" w:line="240" w:lineRule="auto"/>
            </w:pPr>
            <w:r>
              <w:rPr>
                <w:rFonts w:ascii="Aptos" w:hAnsi="Aptos"/>
                <w:color w:val="202A33"/>
                <w:sz w:val="16"/>
              </w:rPr>
              <w:t>Operational burden</w:t>
            </w:r>
          </w:p>
        </w:tc>
        <w:tc>
          <w:tcPr>
            <w:tcW w:type="dxa" w:w="3850"/>
            <w:shd w:fill="FAFBFC"/>
            <w:tcMar>
              <w:top w:w="90" w:type="dxa"/>
              <w:start w:w="110" w:type="dxa"/>
              <w:bottom w:w="90" w:type="dxa"/>
              <w:end w:w="110" w:type="dxa"/>
            </w:tcMar>
            <w:vAlign w:val="center"/>
          </w:tcPr>
          <w:p>
            <w:pPr>
              <w:spacing w:after="20" w:line="240" w:lineRule="auto"/>
            </w:pPr>
            <w:r>
              <w:rPr>
                <w:rFonts w:ascii="Aptos" w:hAnsi="Aptos"/>
                <w:color w:val="202A33"/>
                <w:sz w:val="16"/>
              </w:rPr>
              <w:t>Lower; suitable for a small product team.</w:t>
            </w:r>
          </w:p>
        </w:tc>
        <w:tc>
          <w:tcPr>
            <w:tcW w:type="dxa" w:w="3860"/>
            <w:shd w:fill="FAFBFC"/>
            <w:tcMar>
              <w:top w:w="90" w:type="dxa"/>
              <w:start w:w="110" w:type="dxa"/>
              <w:bottom w:w="90" w:type="dxa"/>
              <w:end w:w="110" w:type="dxa"/>
            </w:tcMar>
            <w:vAlign w:val="center"/>
          </w:tcPr>
          <w:p>
            <w:pPr>
              <w:spacing w:after="20" w:line="240" w:lineRule="auto"/>
            </w:pPr>
            <w:r>
              <w:rPr>
                <w:rFonts w:ascii="Aptos" w:hAnsi="Aptos"/>
                <w:color w:val="202A33"/>
                <w:sz w:val="16"/>
              </w:rPr>
              <w:t>Higher; requires stronger cloud engineering and ongoing operational ownership.</w:t>
            </w:r>
          </w:p>
        </w:tc>
      </w:tr>
      <w:tr>
        <w:trPr>
          <w:cantSplit/>
        </w:trPr>
        <w:tc>
          <w:tcPr>
            <w:tcW w:type="dxa" w:w="1650"/>
            <w:tcMar>
              <w:top w:w="90" w:type="dxa"/>
              <w:start w:w="110" w:type="dxa"/>
              <w:bottom w:w="90" w:type="dxa"/>
              <w:end w:w="110" w:type="dxa"/>
            </w:tcMar>
            <w:vAlign w:val="center"/>
          </w:tcPr>
          <w:p>
            <w:pPr>
              <w:spacing w:after="20" w:line="240" w:lineRule="auto"/>
            </w:pPr>
            <w:r>
              <w:rPr>
                <w:rFonts w:ascii="Aptos" w:hAnsi="Aptos"/>
                <w:color w:val="202A33"/>
                <w:sz w:val="16"/>
              </w:rPr>
              <w:t>Control and service breadth</w:t>
            </w:r>
          </w:p>
        </w:tc>
        <w:tc>
          <w:tcPr>
            <w:tcW w:type="dxa" w:w="3850"/>
            <w:tcMar>
              <w:top w:w="90" w:type="dxa"/>
              <w:start w:w="110" w:type="dxa"/>
              <w:bottom w:w="90" w:type="dxa"/>
              <w:end w:w="110" w:type="dxa"/>
            </w:tcMar>
            <w:vAlign w:val="center"/>
          </w:tcPr>
          <w:p>
            <w:pPr>
              <w:spacing w:after="20" w:line="240" w:lineRule="auto"/>
            </w:pPr>
            <w:r>
              <w:rPr>
                <w:rFonts w:ascii="Aptos" w:hAnsi="Aptos"/>
                <w:color w:val="202A33"/>
                <w:sz w:val="16"/>
              </w:rPr>
              <w:t>Adequate for MVP; some platform constraints and vendor-specific features.</w:t>
            </w:r>
          </w:p>
        </w:tc>
        <w:tc>
          <w:tcPr>
            <w:tcW w:type="dxa" w:w="3860"/>
            <w:tcMar>
              <w:top w:w="90" w:type="dxa"/>
              <w:start w:w="110" w:type="dxa"/>
              <w:bottom w:w="90" w:type="dxa"/>
              <w:end w:w="110" w:type="dxa"/>
            </w:tcMar>
            <w:vAlign w:val="center"/>
          </w:tcPr>
          <w:p>
            <w:pPr>
              <w:spacing w:after="20" w:line="240" w:lineRule="auto"/>
            </w:pPr>
            <w:r>
              <w:rPr>
                <w:rFonts w:ascii="Aptos" w:hAnsi="Aptos"/>
                <w:color w:val="202A33"/>
                <w:sz w:val="16"/>
              </w:rPr>
              <w:t>Strongest control, isolation options, regional services, and enterprise integration breadth.</w:t>
            </w:r>
          </w:p>
        </w:tc>
      </w:tr>
      <w:tr>
        <w:trPr>
          <w:cantSplit/>
        </w:trPr>
        <w:tc>
          <w:tcPr>
            <w:tcW w:type="dxa" w:w="1650"/>
            <w:shd w:fill="FAFBFC"/>
            <w:tcMar>
              <w:top w:w="90" w:type="dxa"/>
              <w:start w:w="110" w:type="dxa"/>
              <w:bottom w:w="90" w:type="dxa"/>
              <w:end w:w="110" w:type="dxa"/>
            </w:tcMar>
            <w:vAlign w:val="center"/>
          </w:tcPr>
          <w:p>
            <w:pPr>
              <w:spacing w:after="20" w:line="240" w:lineRule="auto"/>
            </w:pPr>
            <w:r>
              <w:rPr>
                <w:rFonts w:ascii="Aptos" w:hAnsi="Aptos"/>
                <w:color w:val="202A33"/>
                <w:sz w:val="16"/>
              </w:rPr>
              <w:t>Cost profile</w:t>
            </w:r>
          </w:p>
        </w:tc>
        <w:tc>
          <w:tcPr>
            <w:tcW w:type="dxa" w:w="3850"/>
            <w:shd w:fill="FAFBFC"/>
            <w:tcMar>
              <w:top w:w="90" w:type="dxa"/>
              <w:start w:w="110" w:type="dxa"/>
              <w:bottom w:w="90" w:type="dxa"/>
              <w:end w:w="110" w:type="dxa"/>
            </w:tcMar>
            <w:vAlign w:val="center"/>
          </w:tcPr>
          <w:p>
            <w:pPr>
              <w:spacing w:after="20" w:line="240" w:lineRule="auto"/>
            </w:pPr>
            <w:r>
              <w:rPr>
                <w:rFonts w:ascii="Aptos" w:hAnsi="Aptos"/>
                <w:color w:val="202A33"/>
                <w:sz w:val="16"/>
              </w:rPr>
              <w:t>Lower initial fixed cost; usage costs need monitoring.</w:t>
            </w:r>
          </w:p>
        </w:tc>
        <w:tc>
          <w:tcPr>
            <w:tcW w:type="dxa" w:w="3860"/>
            <w:shd w:fill="FAFBFC"/>
            <w:tcMar>
              <w:top w:w="90" w:type="dxa"/>
              <w:start w:w="110" w:type="dxa"/>
              <w:bottom w:w="90" w:type="dxa"/>
              <w:end w:w="110" w:type="dxa"/>
            </w:tcMar>
            <w:vAlign w:val="center"/>
          </w:tcPr>
          <w:p>
            <w:pPr>
              <w:spacing w:after="20" w:line="240" w:lineRule="auto"/>
            </w:pPr>
            <w:r>
              <w:rPr>
                <w:rFonts w:ascii="Aptos" w:hAnsi="Aptos"/>
                <w:color w:val="202A33"/>
                <w:sz w:val="16"/>
              </w:rPr>
              <w:t>Can optimize at scale but generally costs more to establish and operate correctly.</w:t>
            </w:r>
          </w:p>
        </w:tc>
      </w:tr>
      <w:tr>
        <w:trPr>
          <w:cantSplit/>
        </w:trPr>
        <w:tc>
          <w:tcPr>
            <w:tcW w:type="dxa" w:w="1650"/>
            <w:tcMar>
              <w:top w:w="90" w:type="dxa"/>
              <w:start w:w="110" w:type="dxa"/>
              <w:bottom w:w="90" w:type="dxa"/>
              <w:end w:w="110" w:type="dxa"/>
            </w:tcMar>
            <w:vAlign w:val="center"/>
          </w:tcPr>
          <w:p>
            <w:pPr>
              <w:spacing w:after="20" w:line="240" w:lineRule="auto"/>
            </w:pPr>
            <w:r>
              <w:rPr>
                <w:rFonts w:ascii="Aptos" w:hAnsi="Aptos"/>
                <w:color w:val="202A33"/>
                <w:sz w:val="16"/>
              </w:rPr>
              <w:t>Future private AI</w:t>
            </w:r>
          </w:p>
        </w:tc>
        <w:tc>
          <w:tcPr>
            <w:tcW w:type="dxa" w:w="3850"/>
            <w:tcMar>
              <w:top w:w="90" w:type="dxa"/>
              <w:start w:w="110" w:type="dxa"/>
              <w:bottom w:w="90" w:type="dxa"/>
              <w:end w:w="110" w:type="dxa"/>
            </w:tcMar>
            <w:vAlign w:val="center"/>
          </w:tcPr>
          <w:p>
            <w:pPr>
              <w:spacing w:after="20" w:line="240" w:lineRule="auto"/>
            </w:pPr>
            <w:r>
              <w:rPr>
                <w:rFonts w:ascii="Aptos" w:hAnsi="Aptos"/>
                <w:color w:val="202A33"/>
                <w:sz w:val="16"/>
              </w:rPr>
              <w:t>Use provider adapter; likely hybrid or migration for private inference.</w:t>
            </w:r>
          </w:p>
        </w:tc>
        <w:tc>
          <w:tcPr>
            <w:tcW w:type="dxa" w:w="3860"/>
            <w:tcMar>
              <w:top w:w="90" w:type="dxa"/>
              <w:start w:w="110" w:type="dxa"/>
              <w:bottom w:w="90" w:type="dxa"/>
              <w:end w:w="110" w:type="dxa"/>
            </w:tcMar>
            <w:vAlign w:val="center"/>
          </w:tcPr>
          <w:p>
            <w:pPr>
              <w:spacing w:after="20" w:line="240" w:lineRule="auto"/>
            </w:pPr>
            <w:r>
              <w:rPr>
                <w:rFonts w:ascii="Aptos" w:hAnsi="Aptos"/>
                <w:color w:val="202A33"/>
                <w:sz w:val="16"/>
              </w:rPr>
              <w:t>Natural path to VPC-based services and private inference, with greater complexity.</w:t>
            </w:r>
          </w:p>
        </w:tc>
      </w:tr>
      <w:tr>
        <w:trPr>
          <w:cantSplit/>
        </w:trPr>
        <w:tc>
          <w:tcPr>
            <w:tcW w:type="dxa" w:w="1650"/>
            <w:shd w:fill="FAFBFC"/>
            <w:tcMar>
              <w:top w:w="90" w:type="dxa"/>
              <w:start w:w="110" w:type="dxa"/>
              <w:bottom w:w="90" w:type="dxa"/>
              <w:end w:w="110" w:type="dxa"/>
            </w:tcMar>
            <w:vAlign w:val="center"/>
          </w:tcPr>
          <w:p>
            <w:pPr>
              <w:spacing w:after="20" w:line="240" w:lineRule="auto"/>
            </w:pPr>
            <w:r>
              <w:rPr>
                <w:rFonts w:ascii="Aptos" w:hAnsi="Aptos"/>
                <w:color w:val="202A33"/>
                <w:sz w:val="16"/>
              </w:rPr>
              <w:t>Recommendation</w:t>
            </w:r>
          </w:p>
        </w:tc>
        <w:tc>
          <w:tcPr>
            <w:tcW w:type="dxa" w:w="3850"/>
            <w:shd w:fill="FAFBFC"/>
            <w:tcMar>
              <w:top w:w="90" w:type="dxa"/>
              <w:start w:w="110" w:type="dxa"/>
              <w:bottom w:w="90" w:type="dxa"/>
              <w:end w:w="110" w:type="dxa"/>
            </w:tcMar>
            <w:vAlign w:val="center"/>
          </w:tcPr>
          <w:p>
            <w:pPr>
              <w:spacing w:after="20" w:line="240" w:lineRule="auto"/>
            </w:pPr>
            <w:r>
              <w:rPr>
                <w:rFonts w:ascii="Aptos" w:hAnsi="Aptos"/>
                <w:color w:val="202A33"/>
                <w:sz w:val="16"/>
              </w:rPr>
              <w:t>Use for Stage 1 with portable Postgres schema, adapters, export backups, and documented migration triggers.</w:t>
            </w:r>
          </w:p>
        </w:tc>
        <w:tc>
          <w:tcPr>
            <w:tcW w:type="dxa" w:w="3860"/>
            <w:shd w:fill="FAFBFC"/>
            <w:tcMar>
              <w:top w:w="90" w:type="dxa"/>
              <w:start w:w="110" w:type="dxa"/>
              <w:bottom w:w="90" w:type="dxa"/>
              <w:end w:w="110" w:type="dxa"/>
            </w:tcMar>
            <w:vAlign w:val="center"/>
          </w:tcPr>
          <w:p>
            <w:pPr>
              <w:spacing w:after="20" w:line="240" w:lineRule="auto"/>
            </w:pPr>
            <w:r>
              <w:rPr>
                <w:rFonts w:ascii="Aptos" w:hAnsi="Aptos"/>
                <w:color w:val="202A33"/>
                <w:sz w:val="16"/>
              </w:rPr>
              <w:t>Choose now only if a signed customer, security requirement, data residency need, or enterprise procurement constraint demands it.</w:t>
            </w:r>
          </w:p>
        </w:tc>
      </w:tr>
    </w:tbl>
    <w:p>
      <w:pPr>
        <w:spacing w:after="20"/>
      </w:pPr>
    </w:p>
    <w:p>
      <w:pPr>
        <w:spacing w:before="80" w:after="140"/>
        <w:ind w:left="202" w:right="202"/>
        <w:shd w:fill="E8F5F4"/>
        <w:pBdr>
          <w:left w:val="single" w:sz="18" w:space="8" w:color="0E7C7B"/>
        </w:pBdr>
      </w:pPr>
      <w:r>
        <w:rPr>
          <w:rFonts w:ascii="Aptos" w:hAnsi="Aptos"/>
          <w:b/>
          <w:color w:val="17324D"/>
          <w:sz w:val="20"/>
        </w:rPr>
        <w:t xml:space="preserve">Architecture decision  </w:t>
      </w:r>
      <w:r>
        <w:rPr>
          <w:rFonts w:ascii="Aptos" w:hAnsi="Aptos"/>
          <w:color w:val="202A33"/>
          <w:sz w:val="19"/>
        </w:rPr>
        <w:t>Proceed with Vercel + Supabase for Stage 1 unless the owner identifies a binding enterprise/security requirement before engineering starts. Revisit AWS when private networking, regulated workloads, regional controls, sustained scale, or Stage 3 private AI becomes a committed requirement.</w:t>
      </w:r>
    </w:p>
    <w:p>
      <w:pPr>
        <w:pStyle w:val="Heading2"/>
        <w:keepNext/>
      </w:pPr>
      <w:r>
        <w:t>6.3 Logical system flow</w:t>
      </w:r>
    </w:p>
    <w:tbl>
      <w:tblPr>
        <w:tblStyle w:val="TableGrid"/>
        <w:tblW w:type="dxa" w:w="9360"/>
        <w:tblLayout w:type="fixed"/>
        <w:tblLook w:firstColumn="1" w:firstRow="1" w:lastColumn="0" w:lastRow="0" w:noHBand="0" w:noVBand="1" w:val="04A0"/>
        <w:jc w:val="left"/>
        <w:tblInd w:w="0" w:type="dxa"/>
      </w:tblPr>
      <w:tblGrid>
        <w:gridCol w:w="2400"/>
        <w:gridCol w:w="3500"/>
        <w:gridCol w:w="3460"/>
      </w:tblGrid>
      <w:tr>
        <w:trPr>
          <w:tblHeader w:val="true"/>
          <w:cantSplit/>
        </w:trPr>
        <w:tc>
          <w:tcPr>
            <w:tcW w:type="dxa" w:w="2400"/>
            <w:tcMar>
              <w:top w:w="90" w:type="dxa"/>
              <w:start w:w="110" w:type="dxa"/>
              <w:bottom w:w="90" w:type="dxa"/>
              <w:end w:w="110" w:type="dxa"/>
            </w:tcMar>
            <w:vAlign w:val="center"/>
            <w:shd w:fill="17324D"/>
          </w:tcPr>
          <w:p>
            <w:r>
              <w:rPr>
                <w:rFonts w:ascii="Aptos" w:hAnsi="Aptos"/>
                <w:b/>
                <w:color w:val="FFFFFF"/>
                <w:sz w:val="17"/>
              </w:rPr>
              <w:t>Client</w:t>
            </w:r>
          </w:p>
        </w:tc>
        <w:tc>
          <w:tcPr>
            <w:tcW w:type="dxa" w:w="3500"/>
            <w:tcMar>
              <w:top w:w="90" w:type="dxa"/>
              <w:start w:w="110" w:type="dxa"/>
              <w:bottom w:w="90" w:type="dxa"/>
              <w:end w:w="110" w:type="dxa"/>
            </w:tcMar>
            <w:vAlign w:val="center"/>
            <w:shd w:fill="17324D"/>
          </w:tcPr>
          <w:p>
            <w:r>
              <w:rPr>
                <w:rFonts w:ascii="Aptos" w:hAnsi="Aptos"/>
                <w:b/>
                <w:color w:val="FFFFFF"/>
                <w:sz w:val="17"/>
              </w:rPr>
              <w:t>Server/domain services</w:t>
            </w:r>
          </w:p>
        </w:tc>
        <w:tc>
          <w:tcPr>
            <w:tcW w:type="dxa" w:w="3460"/>
            <w:tcMar>
              <w:top w:w="90" w:type="dxa"/>
              <w:start w:w="110" w:type="dxa"/>
              <w:bottom w:w="90" w:type="dxa"/>
              <w:end w:w="110" w:type="dxa"/>
            </w:tcMar>
            <w:vAlign w:val="center"/>
            <w:shd w:fill="17324D"/>
          </w:tcPr>
          <w:p>
            <w:r>
              <w:rPr>
                <w:rFonts w:ascii="Aptos" w:hAnsi="Aptos"/>
                <w:b/>
                <w:color w:val="FFFFFF"/>
                <w:sz w:val="17"/>
              </w:rPr>
              <w:t>Data and external services</w:t>
            </w:r>
          </w:p>
        </w:tc>
      </w:tr>
      <w:tr>
        <w:trPr>
          <w:cantSplit/>
        </w:trPr>
        <w:tc>
          <w:tcPr>
            <w:tcW w:type="dxa" w:w="2400"/>
            <w:tcMar>
              <w:top w:w="90" w:type="dxa"/>
              <w:start w:w="110" w:type="dxa"/>
              <w:bottom w:w="90" w:type="dxa"/>
              <w:end w:w="110" w:type="dxa"/>
            </w:tcMar>
            <w:vAlign w:val="center"/>
          </w:tcPr>
          <w:p>
            <w:pPr>
              <w:spacing w:after="20" w:line="240" w:lineRule="auto"/>
            </w:pPr>
            <w:r>
              <w:rPr>
                <w:rFonts w:ascii="Aptos" w:hAnsi="Aptos"/>
                <w:color w:val="202A33"/>
                <w:sz w:val="17"/>
              </w:rPr>
              <w:t>Public/member web app</w:t>
            </w:r>
          </w:p>
        </w:tc>
        <w:tc>
          <w:tcPr>
            <w:tcW w:type="dxa" w:w="3500"/>
            <w:tcMar>
              <w:top w:w="90" w:type="dxa"/>
              <w:start w:w="110" w:type="dxa"/>
              <w:bottom w:w="90" w:type="dxa"/>
              <w:end w:w="110" w:type="dxa"/>
            </w:tcMar>
            <w:vAlign w:val="center"/>
          </w:tcPr>
          <w:p>
            <w:pPr>
              <w:spacing w:after="20" w:line="240" w:lineRule="auto"/>
            </w:pPr>
            <w:r>
              <w:rPr>
                <w:rFonts w:ascii="Aptos" w:hAnsi="Aptos"/>
                <w:color w:val="202A33"/>
                <w:sz w:val="17"/>
              </w:rPr>
              <w:t>Identity; profiles; company/status; assistant; news; directory; snapshots; analytics</w:t>
            </w:r>
          </w:p>
        </w:tc>
        <w:tc>
          <w:tcPr>
            <w:tcW w:type="dxa" w:w="3460"/>
            <w:tcMar>
              <w:top w:w="90" w:type="dxa"/>
              <w:start w:w="110" w:type="dxa"/>
              <w:bottom w:w="90" w:type="dxa"/>
              <w:end w:w="110" w:type="dxa"/>
            </w:tcMar>
            <w:vAlign w:val="center"/>
          </w:tcPr>
          <w:p>
            <w:pPr>
              <w:spacing w:after="20" w:line="240" w:lineRule="auto"/>
            </w:pPr>
            <w:r>
              <w:rPr>
                <w:rFonts w:ascii="Aptos" w:hAnsi="Aptos"/>
                <w:color w:val="202A33"/>
                <w:sz w:val="17"/>
              </w:rPr>
              <w:t>Supabase Postgres/Auth/Storage; AI provider; news sources; email provider</w:t>
            </w:r>
          </w:p>
        </w:tc>
      </w:tr>
      <w:tr>
        <w:trPr>
          <w:cantSplit/>
        </w:trPr>
        <w:tc>
          <w:tcPr>
            <w:tcW w:type="dxa" w:w="2400"/>
            <w:shd w:fill="FAFBFC"/>
            <w:tcMar>
              <w:top w:w="90" w:type="dxa"/>
              <w:start w:w="110" w:type="dxa"/>
              <w:bottom w:w="90" w:type="dxa"/>
              <w:end w:w="110" w:type="dxa"/>
            </w:tcMar>
            <w:vAlign w:val="center"/>
          </w:tcPr>
          <w:p>
            <w:pPr>
              <w:spacing w:after="20" w:line="240" w:lineRule="auto"/>
            </w:pPr>
            <w:r>
              <w:rPr>
                <w:rFonts w:ascii="Aptos" w:hAnsi="Aptos"/>
                <w:color w:val="202A33"/>
                <w:sz w:val="17"/>
              </w:rPr>
              <w:t>Management web app</w:t>
            </w:r>
          </w:p>
        </w:tc>
        <w:tc>
          <w:tcPr>
            <w:tcW w:type="dxa" w:w="3500"/>
            <w:shd w:fill="FAFBFC"/>
            <w:tcMar>
              <w:top w:w="90" w:type="dxa"/>
              <w:start w:w="110" w:type="dxa"/>
              <w:bottom w:w="90" w:type="dxa"/>
              <w:end w:w="110" w:type="dxa"/>
            </w:tcMar>
            <w:vAlign w:val="center"/>
          </w:tcPr>
          <w:p>
            <w:pPr>
              <w:spacing w:after="20" w:line="240" w:lineRule="auto"/>
            </w:pPr>
            <w:r>
              <w:rPr>
                <w:rFonts w:ascii="Aptos" w:hAnsi="Aptos"/>
                <w:color w:val="202A33"/>
                <w:sz w:val="17"/>
              </w:rPr>
              <w:t>Admin authorization; moderation; configuration; usage aggregation; cost ledger; audit</w:t>
            </w:r>
          </w:p>
        </w:tc>
        <w:tc>
          <w:tcPr>
            <w:tcW w:type="dxa" w:w="3460"/>
            <w:shd w:fill="FAFBFC"/>
            <w:tcMar>
              <w:top w:w="90" w:type="dxa"/>
              <w:start w:w="110" w:type="dxa"/>
              <w:bottom w:w="90" w:type="dxa"/>
              <w:end w:w="110" w:type="dxa"/>
            </w:tcMar>
            <w:vAlign w:val="center"/>
          </w:tcPr>
          <w:p>
            <w:pPr>
              <w:spacing w:after="20" w:line="240" w:lineRule="auto"/>
            </w:pPr>
            <w:r>
              <w:rPr>
                <w:rFonts w:ascii="Aptos" w:hAnsi="Aptos"/>
                <w:color w:val="202A33"/>
                <w:sz w:val="17"/>
              </w:rPr>
              <w:t>Same governed data plane; vendor usage/invoice APIs or CSV imports; error monitoring</w:t>
            </w:r>
          </w:p>
        </w:tc>
      </w:tr>
    </w:tbl>
    <w:p>
      <w:pPr>
        <w:spacing w:after="20"/>
      </w:pPr>
    </w:p>
    <w:p>
      <w:pPr>
        <w:pStyle w:val="Heading1"/>
        <w:keepNext/>
      </w:pPr>
      <w:r>
        <w:t>7. Data model, integrations, and analytics</w:t>
      </w:r>
    </w:p>
    <w:p>
      <w:pPr>
        <w:pStyle w:val="Heading2"/>
        <w:keepNext/>
      </w:pPr>
      <w:r>
        <w:t>7.1 Core entities</w:t>
      </w:r>
    </w:p>
    <w:tbl>
      <w:tblPr>
        <w:tblStyle w:val="TableGrid"/>
        <w:tblW w:type="dxa" w:w="9360"/>
        <w:tblLayout w:type="fixed"/>
        <w:tblLook w:firstColumn="1" w:firstRow="1" w:lastColumn="0" w:lastRow="0" w:noHBand="0" w:noVBand="1" w:val="04A0"/>
        <w:jc w:val="left"/>
        <w:tblInd w:w="0" w:type="dxa"/>
      </w:tblPr>
      <w:tblGrid>
        <w:gridCol w:w="2200"/>
        <w:gridCol w:w="7160"/>
      </w:tblGrid>
      <w:tr>
        <w:trPr>
          <w:tblHeader w:val="true"/>
          <w:cantSplit/>
        </w:trPr>
        <w:tc>
          <w:tcPr>
            <w:tcW w:type="dxa" w:w="2200"/>
            <w:tcMar>
              <w:top w:w="90" w:type="dxa"/>
              <w:start w:w="110" w:type="dxa"/>
              <w:bottom w:w="90" w:type="dxa"/>
              <w:end w:w="110" w:type="dxa"/>
            </w:tcMar>
            <w:vAlign w:val="center"/>
            <w:shd w:fill="17324D"/>
          </w:tcPr>
          <w:p>
            <w:r>
              <w:rPr>
                <w:rFonts w:ascii="Aptos" w:hAnsi="Aptos"/>
                <w:b/>
                <w:color w:val="FFFFFF"/>
                <w:sz w:val="17"/>
              </w:rPr>
              <w:t>Domain</w:t>
            </w:r>
          </w:p>
        </w:tc>
        <w:tc>
          <w:tcPr>
            <w:tcW w:type="dxa" w:w="7160"/>
            <w:tcMar>
              <w:top w:w="90" w:type="dxa"/>
              <w:start w:w="110" w:type="dxa"/>
              <w:bottom w:w="90" w:type="dxa"/>
              <w:end w:w="110" w:type="dxa"/>
            </w:tcMar>
            <w:vAlign w:val="center"/>
            <w:shd w:fill="17324D"/>
          </w:tcPr>
          <w:p>
            <w:r>
              <w:rPr>
                <w:rFonts w:ascii="Aptos" w:hAnsi="Aptos"/>
                <w:b/>
                <w:color w:val="FFFFFF"/>
                <w:sz w:val="17"/>
              </w:rPr>
              <w:t>Entities</w:t>
            </w:r>
          </w:p>
        </w:tc>
      </w:tr>
      <w:tr>
        <w:trPr>
          <w:cantSplit/>
        </w:trPr>
        <w:tc>
          <w:tcPr>
            <w:tcW w:type="dxa" w:w="2200"/>
            <w:tcMar>
              <w:top w:w="90" w:type="dxa"/>
              <w:start w:w="110" w:type="dxa"/>
              <w:bottom w:w="90" w:type="dxa"/>
              <w:end w:w="110" w:type="dxa"/>
            </w:tcMar>
            <w:vAlign w:val="center"/>
          </w:tcPr>
          <w:p>
            <w:pPr>
              <w:spacing w:after="20" w:line="240" w:lineRule="auto"/>
            </w:pPr>
            <w:r>
              <w:rPr>
                <w:rFonts w:ascii="Aptos" w:hAnsi="Aptos"/>
                <w:color w:val="202A33"/>
                <w:sz w:val="17"/>
              </w:rPr>
              <w:t>Identity and tenancy</w:t>
            </w:r>
          </w:p>
        </w:tc>
        <w:tc>
          <w:tcPr>
            <w:tcW w:type="dxa" w:w="7160"/>
            <w:tcMar>
              <w:top w:w="90" w:type="dxa"/>
              <w:start w:w="110" w:type="dxa"/>
              <w:bottom w:w="90" w:type="dxa"/>
              <w:end w:w="110" w:type="dxa"/>
            </w:tcMar>
            <w:vAlign w:val="center"/>
          </w:tcPr>
          <w:p>
            <w:pPr>
              <w:spacing w:after="20" w:line="240" w:lineRule="auto"/>
            </w:pPr>
            <w:r>
              <w:rPr>
                <w:rFonts w:ascii="Aptos" w:hAnsi="Aptos"/>
                <w:color w:val="202A33"/>
                <w:sz w:val="17"/>
              </w:rPr>
              <w:t>users, organizations, organization_members, invitations, roles, consent_records</w:t>
            </w:r>
          </w:p>
        </w:tc>
      </w:tr>
      <w:tr>
        <w:trPr>
          <w:cantSplit/>
        </w:trPr>
        <w:tc>
          <w:tcPr>
            <w:tcW w:type="dxa" w:w="2200"/>
            <w:shd w:fill="FAFBFC"/>
            <w:tcMar>
              <w:top w:w="90" w:type="dxa"/>
              <w:start w:w="110" w:type="dxa"/>
              <w:bottom w:w="90" w:type="dxa"/>
              <w:end w:w="110" w:type="dxa"/>
            </w:tcMar>
            <w:vAlign w:val="center"/>
          </w:tcPr>
          <w:p>
            <w:pPr>
              <w:spacing w:after="20" w:line="240" w:lineRule="auto"/>
            </w:pPr>
            <w:r>
              <w:rPr>
                <w:rFonts w:ascii="Aptos" w:hAnsi="Aptos"/>
                <w:color w:val="202A33"/>
                <w:sz w:val="17"/>
              </w:rPr>
              <w:t>Profiles</w:t>
            </w:r>
          </w:p>
        </w:tc>
        <w:tc>
          <w:tcPr>
            <w:tcW w:type="dxa" w:w="7160"/>
            <w:shd w:fill="FAFBFC"/>
            <w:tcMar>
              <w:top w:w="90" w:type="dxa"/>
              <w:start w:w="110" w:type="dxa"/>
              <w:bottom w:w="90" w:type="dxa"/>
              <w:end w:w="110" w:type="dxa"/>
            </w:tcMar>
            <w:vAlign w:val="center"/>
          </w:tcPr>
          <w:p>
            <w:pPr>
              <w:spacing w:after="20" w:line="240" w:lineRule="auto"/>
            </w:pPr>
            <w:r>
              <w:rPr>
                <w:rFonts w:ascii="Aptos" w:hAnsi="Aptos"/>
                <w:color w:val="202A33"/>
                <w:sz w:val="17"/>
              </w:rPr>
              <w:t>founder_profiles, provider_profiles, vc_profiles, profile_visibility</w:t>
            </w:r>
          </w:p>
        </w:tc>
      </w:tr>
      <w:tr>
        <w:trPr>
          <w:cantSplit/>
        </w:trPr>
        <w:tc>
          <w:tcPr>
            <w:tcW w:type="dxa" w:w="2200"/>
            <w:tcMar>
              <w:top w:w="90" w:type="dxa"/>
              <w:start w:w="110" w:type="dxa"/>
              <w:bottom w:w="90" w:type="dxa"/>
              <w:end w:w="110" w:type="dxa"/>
            </w:tcMar>
            <w:vAlign w:val="center"/>
          </w:tcPr>
          <w:p>
            <w:pPr>
              <w:spacing w:after="20" w:line="240" w:lineRule="auto"/>
            </w:pPr>
            <w:r>
              <w:rPr>
                <w:rFonts w:ascii="Aptos" w:hAnsi="Aptos"/>
                <w:color w:val="202A33"/>
                <w:sz w:val="17"/>
              </w:rPr>
              <w:t>Founder company</w:t>
            </w:r>
          </w:p>
        </w:tc>
        <w:tc>
          <w:tcPr>
            <w:tcW w:type="dxa" w:w="7160"/>
            <w:tcMar>
              <w:top w:w="90" w:type="dxa"/>
              <w:start w:w="110" w:type="dxa"/>
              <w:bottom w:w="90" w:type="dxa"/>
              <w:end w:w="110" w:type="dxa"/>
            </w:tcMar>
            <w:vAlign w:val="center"/>
          </w:tcPr>
          <w:p>
            <w:pPr>
              <w:spacing w:after="20" w:line="240" w:lineRule="auto"/>
            </w:pPr>
            <w:r>
              <w:rPr>
                <w:rFonts w:ascii="Aptos" w:hAnsi="Aptos"/>
                <w:color w:val="202A33"/>
                <w:sz w:val="17"/>
              </w:rPr>
              <w:t>companies, company_status, company_milestones, taxonomy_terms, company_taxonomy</w:t>
            </w:r>
          </w:p>
        </w:tc>
      </w:tr>
      <w:tr>
        <w:trPr>
          <w:cantSplit/>
        </w:trPr>
        <w:tc>
          <w:tcPr>
            <w:tcW w:type="dxa" w:w="2200"/>
            <w:shd w:fill="FAFBFC"/>
            <w:tcMar>
              <w:top w:w="90" w:type="dxa"/>
              <w:start w:w="110" w:type="dxa"/>
              <w:bottom w:w="90" w:type="dxa"/>
              <w:end w:w="110" w:type="dxa"/>
            </w:tcMar>
            <w:vAlign w:val="center"/>
          </w:tcPr>
          <w:p>
            <w:pPr>
              <w:spacing w:after="20" w:line="240" w:lineRule="auto"/>
            </w:pPr>
            <w:r>
              <w:rPr>
                <w:rFonts w:ascii="Aptos" w:hAnsi="Aptos"/>
                <w:color w:val="202A33"/>
                <w:sz w:val="17"/>
              </w:rPr>
              <w:t>Assistant</w:t>
            </w:r>
          </w:p>
        </w:tc>
        <w:tc>
          <w:tcPr>
            <w:tcW w:type="dxa" w:w="7160"/>
            <w:shd w:fill="FAFBFC"/>
            <w:tcMar>
              <w:top w:w="90" w:type="dxa"/>
              <w:start w:w="110" w:type="dxa"/>
              <w:bottom w:w="90" w:type="dxa"/>
              <w:end w:w="110" w:type="dxa"/>
            </w:tcMar>
            <w:vAlign w:val="center"/>
          </w:tcPr>
          <w:p>
            <w:pPr>
              <w:spacing w:after="20" w:line="240" w:lineRule="auto"/>
            </w:pPr>
            <w:r>
              <w:rPr>
                <w:rFonts w:ascii="Aptos" w:hAnsi="Aptos"/>
                <w:color w:val="202A33"/>
                <w:sz w:val="17"/>
              </w:rPr>
              <w:t>conversations, messages, prompt_topics, ai_usage_events, reported_messages</w:t>
            </w:r>
          </w:p>
        </w:tc>
      </w:tr>
      <w:tr>
        <w:trPr>
          <w:cantSplit/>
        </w:trPr>
        <w:tc>
          <w:tcPr>
            <w:tcW w:type="dxa" w:w="2200"/>
            <w:tcMar>
              <w:top w:w="90" w:type="dxa"/>
              <w:start w:w="110" w:type="dxa"/>
              <w:bottom w:w="90" w:type="dxa"/>
              <w:end w:w="110" w:type="dxa"/>
            </w:tcMar>
            <w:vAlign w:val="center"/>
          </w:tcPr>
          <w:p>
            <w:pPr>
              <w:spacing w:after="20" w:line="240" w:lineRule="auto"/>
            </w:pPr>
            <w:r>
              <w:rPr>
                <w:rFonts w:ascii="Aptos" w:hAnsi="Aptos"/>
                <w:color w:val="202A33"/>
                <w:sz w:val="17"/>
              </w:rPr>
              <w:t>Content/ecosystem</w:t>
            </w:r>
          </w:p>
        </w:tc>
        <w:tc>
          <w:tcPr>
            <w:tcW w:type="dxa" w:w="7160"/>
            <w:tcMar>
              <w:top w:w="90" w:type="dxa"/>
              <w:start w:w="110" w:type="dxa"/>
              <w:bottom w:w="90" w:type="dxa"/>
              <w:end w:w="110" w:type="dxa"/>
            </w:tcMar>
            <w:vAlign w:val="center"/>
          </w:tcPr>
          <w:p>
            <w:pPr>
              <w:spacing w:after="20" w:line="240" w:lineRule="auto"/>
            </w:pPr>
            <w:r>
              <w:rPr>
                <w:rFonts w:ascii="Aptos" w:hAnsi="Aptos"/>
                <w:color w:val="202A33"/>
                <w:sz w:val="17"/>
              </w:rPr>
              <w:t>news_items, news_sources, communities, directory_saves, contact_requests, content_reports</w:t>
            </w:r>
          </w:p>
        </w:tc>
      </w:tr>
      <w:tr>
        <w:trPr>
          <w:cantSplit/>
        </w:trPr>
        <w:tc>
          <w:tcPr>
            <w:tcW w:type="dxa" w:w="2200"/>
            <w:shd w:fill="FAFBFC"/>
            <w:tcMar>
              <w:top w:w="90" w:type="dxa"/>
              <w:start w:w="110" w:type="dxa"/>
              <w:bottom w:w="90" w:type="dxa"/>
              <w:end w:w="110" w:type="dxa"/>
            </w:tcMar>
            <w:vAlign w:val="center"/>
          </w:tcPr>
          <w:p>
            <w:pPr>
              <w:spacing w:after="20" w:line="240" w:lineRule="auto"/>
            </w:pPr>
            <w:r>
              <w:rPr>
                <w:rFonts w:ascii="Aptos" w:hAnsi="Aptos"/>
                <w:color w:val="202A33"/>
                <w:sz w:val="17"/>
              </w:rPr>
              <w:t>Sharing</w:t>
            </w:r>
          </w:p>
        </w:tc>
        <w:tc>
          <w:tcPr>
            <w:tcW w:type="dxa" w:w="7160"/>
            <w:shd w:fill="FAFBFC"/>
            <w:tcMar>
              <w:top w:w="90" w:type="dxa"/>
              <w:start w:w="110" w:type="dxa"/>
              <w:bottom w:w="90" w:type="dxa"/>
              <w:end w:w="110" w:type="dxa"/>
            </w:tcMar>
            <w:vAlign w:val="center"/>
          </w:tcPr>
          <w:p>
            <w:pPr>
              <w:spacing w:after="20" w:line="240" w:lineRule="auto"/>
            </w:pPr>
            <w:r>
              <w:rPr>
                <w:rFonts w:ascii="Aptos" w:hAnsi="Aptos"/>
                <w:color w:val="202A33"/>
                <w:sz w:val="17"/>
              </w:rPr>
              <w:t>company_snapshots, snapshot_fields, snapshot_recipients, snapshot_access_events</w:t>
            </w:r>
          </w:p>
        </w:tc>
      </w:tr>
      <w:tr>
        <w:trPr>
          <w:cantSplit/>
        </w:trPr>
        <w:tc>
          <w:tcPr>
            <w:tcW w:type="dxa" w:w="2200"/>
            <w:tcMar>
              <w:top w:w="90" w:type="dxa"/>
              <w:start w:w="110" w:type="dxa"/>
              <w:bottom w:w="90" w:type="dxa"/>
              <w:end w:w="110" w:type="dxa"/>
            </w:tcMar>
            <w:vAlign w:val="center"/>
          </w:tcPr>
          <w:p>
            <w:pPr>
              <w:spacing w:after="20" w:line="240" w:lineRule="auto"/>
            </w:pPr>
            <w:r>
              <w:rPr>
                <w:rFonts w:ascii="Aptos" w:hAnsi="Aptos"/>
                <w:color w:val="202A33"/>
                <w:sz w:val="17"/>
              </w:rPr>
              <w:t>Operations</w:t>
            </w:r>
          </w:p>
        </w:tc>
        <w:tc>
          <w:tcPr>
            <w:tcW w:type="dxa" w:w="7160"/>
            <w:tcMar>
              <w:top w:w="90" w:type="dxa"/>
              <w:start w:w="110" w:type="dxa"/>
              <w:bottom w:w="90" w:type="dxa"/>
              <w:end w:w="110" w:type="dxa"/>
            </w:tcMar>
            <w:vAlign w:val="center"/>
          </w:tcPr>
          <w:p>
            <w:pPr>
              <w:spacing w:after="20" w:line="240" w:lineRule="auto"/>
            </w:pPr>
            <w:r>
              <w:rPr>
                <w:rFonts w:ascii="Aptos" w:hAnsi="Aptos"/>
                <w:color w:val="202A33"/>
                <w:sz w:val="17"/>
              </w:rPr>
              <w:t>feature_flags, service_usage_events, vendor_cost_entries, budget_thresholds, audit_events</w:t>
            </w:r>
          </w:p>
        </w:tc>
      </w:tr>
    </w:tbl>
    <w:p>
      <w:pPr>
        <w:spacing w:after="20"/>
      </w:pPr>
    </w:p>
    <w:p>
      <w:pPr>
        <w:pStyle w:val="Heading2"/>
        <w:keepNext/>
      </w:pPr>
      <w:r>
        <w:t>7.2 Data rules</w:t>
      </w:r>
    </w:p>
    <w:p>
      <w:pPr>
        <w:pStyle w:val="ListBullet"/>
      </w:pPr>
      <w:r>
        <w:t>All tenant-owned tables carry organization_id and are protected by row-level security plus server-side authorization.</w:t>
      </w:r>
    </w:p>
    <w:p>
      <w:pPr>
        <w:pStyle w:val="ListBullet"/>
      </w:pPr>
      <w:r>
        <w:t>Profile type is immutable through ordinary member UI. Management may correct it through an audited workflow.</w:t>
      </w:r>
    </w:p>
    <w:p>
      <w:pPr>
        <w:pStyle w:val="ListBullet"/>
      </w:pPr>
      <w:r>
        <w:t>Snapshot fields are copied into a versioned snapshot payload; viewing does not query unrestricted live company records.</w:t>
      </w:r>
    </w:p>
    <w:p>
      <w:pPr>
        <w:pStyle w:val="ListBullet"/>
      </w:pPr>
      <w:r>
        <w:t>AI context is assembled server-side from only approved fields, recorded by context version, and excluded from client-controlled system prompts.</w:t>
      </w:r>
    </w:p>
    <w:p>
      <w:pPr>
        <w:pStyle w:val="ListBullet"/>
      </w:pPr>
      <w:r>
        <w:t>Usage events contain operational metadata but avoid storing sensitive prompt/response text unless needed for a reported-content workflow.</w:t>
      </w:r>
    </w:p>
    <w:p>
      <w:pPr>
        <w:pStyle w:val="ListBullet"/>
      </w:pPr>
      <w:r>
        <w:t>Vendor cost entries indicate actual, imported, or estimated status and preserve source and calculation metadata.</w:t>
      </w:r>
    </w:p>
    <w:p>
      <w:pPr>
        <w:pStyle w:val="Heading2"/>
        <w:keepNext/>
      </w:pPr>
      <w:r>
        <w:t>7.3 Required analytics events</w:t>
      </w:r>
    </w:p>
    <w:tbl>
      <w:tblPr>
        <w:tblStyle w:val="TableGrid"/>
        <w:tblW w:type="dxa" w:w="9360"/>
        <w:tblLayout w:type="fixed"/>
        <w:tblLook w:firstColumn="1" w:firstRow="1" w:lastColumn="0" w:lastRow="0" w:noHBand="0" w:noVBand="1" w:val="04A0"/>
        <w:jc w:val="left"/>
        <w:tblInd w:w="0" w:type="dxa"/>
      </w:tblPr>
      <w:tblGrid>
        <w:gridCol w:w="2200"/>
        <w:gridCol w:w="7160"/>
      </w:tblGrid>
      <w:tr>
        <w:trPr>
          <w:tblHeader w:val="true"/>
          <w:cantSplit/>
        </w:trPr>
        <w:tc>
          <w:tcPr>
            <w:tcW w:type="dxa" w:w="2200"/>
            <w:tcMar>
              <w:top w:w="90" w:type="dxa"/>
              <w:start w:w="110" w:type="dxa"/>
              <w:bottom w:w="90" w:type="dxa"/>
              <w:end w:w="110" w:type="dxa"/>
            </w:tcMar>
            <w:vAlign w:val="center"/>
            <w:shd w:fill="17324D"/>
          </w:tcPr>
          <w:p>
            <w:r>
              <w:rPr>
                <w:rFonts w:ascii="Aptos" w:hAnsi="Aptos"/>
                <w:b/>
                <w:color w:val="FFFFFF"/>
                <w:sz w:val="17"/>
              </w:rPr>
              <w:t>Journey</w:t>
            </w:r>
          </w:p>
        </w:tc>
        <w:tc>
          <w:tcPr>
            <w:tcW w:type="dxa" w:w="7160"/>
            <w:tcMar>
              <w:top w:w="90" w:type="dxa"/>
              <w:start w:w="110" w:type="dxa"/>
              <w:bottom w:w="90" w:type="dxa"/>
              <w:end w:w="110" w:type="dxa"/>
            </w:tcMar>
            <w:vAlign w:val="center"/>
            <w:shd w:fill="17324D"/>
          </w:tcPr>
          <w:p>
            <w:r>
              <w:rPr>
                <w:rFonts w:ascii="Aptos" w:hAnsi="Aptos"/>
                <w:b/>
                <w:color w:val="FFFFFF"/>
                <w:sz w:val="17"/>
              </w:rPr>
              <w:t>Events</w:t>
            </w:r>
          </w:p>
        </w:tc>
      </w:tr>
      <w:tr>
        <w:trPr>
          <w:cantSplit/>
        </w:trPr>
        <w:tc>
          <w:tcPr>
            <w:tcW w:type="dxa" w:w="2200"/>
            <w:tcMar>
              <w:top w:w="90" w:type="dxa"/>
              <w:start w:w="110" w:type="dxa"/>
              <w:bottom w:w="90" w:type="dxa"/>
              <w:end w:w="110" w:type="dxa"/>
            </w:tcMar>
            <w:vAlign w:val="center"/>
          </w:tcPr>
          <w:p>
            <w:pPr>
              <w:spacing w:after="20" w:line="240" w:lineRule="auto"/>
            </w:pPr>
            <w:r>
              <w:rPr>
                <w:rFonts w:ascii="Aptos" w:hAnsi="Aptos"/>
                <w:color w:val="202A33"/>
                <w:sz w:val="17"/>
              </w:rPr>
              <w:t>Acquisition</w:t>
            </w:r>
          </w:p>
        </w:tc>
        <w:tc>
          <w:tcPr>
            <w:tcW w:type="dxa" w:w="7160"/>
            <w:tcMar>
              <w:top w:w="90" w:type="dxa"/>
              <w:start w:w="110" w:type="dxa"/>
              <w:bottom w:w="90" w:type="dxa"/>
              <w:end w:w="110" w:type="dxa"/>
            </w:tcMar>
            <w:vAlign w:val="center"/>
          </w:tcPr>
          <w:p>
            <w:pPr>
              <w:spacing w:after="20" w:line="240" w:lineRule="auto"/>
            </w:pPr>
            <w:r>
              <w:rPr>
                <w:rFonts w:ascii="Aptos" w:hAnsi="Aptos"/>
                <w:color w:val="202A33"/>
                <w:sz w:val="17"/>
              </w:rPr>
              <w:t>home_viewed, public_prompt_submitted, public_answer_completed, registration_started, registration_completed</w:t>
            </w:r>
          </w:p>
        </w:tc>
      </w:tr>
      <w:tr>
        <w:trPr>
          <w:cantSplit/>
        </w:trPr>
        <w:tc>
          <w:tcPr>
            <w:tcW w:type="dxa" w:w="2200"/>
            <w:shd w:fill="FAFBFC"/>
            <w:tcMar>
              <w:top w:w="90" w:type="dxa"/>
              <w:start w:w="110" w:type="dxa"/>
              <w:bottom w:w="90" w:type="dxa"/>
              <w:end w:w="110" w:type="dxa"/>
            </w:tcMar>
            <w:vAlign w:val="center"/>
          </w:tcPr>
          <w:p>
            <w:pPr>
              <w:spacing w:after="20" w:line="240" w:lineRule="auto"/>
            </w:pPr>
            <w:r>
              <w:rPr>
                <w:rFonts w:ascii="Aptos" w:hAnsi="Aptos"/>
                <w:color w:val="202A33"/>
                <w:sz w:val="17"/>
              </w:rPr>
              <w:t>Onboarding</w:t>
            </w:r>
          </w:p>
        </w:tc>
        <w:tc>
          <w:tcPr>
            <w:tcW w:type="dxa" w:w="7160"/>
            <w:shd w:fill="FAFBFC"/>
            <w:tcMar>
              <w:top w:w="90" w:type="dxa"/>
              <w:start w:w="110" w:type="dxa"/>
              <w:bottom w:w="90" w:type="dxa"/>
              <w:end w:w="110" w:type="dxa"/>
            </w:tcMar>
            <w:vAlign w:val="center"/>
          </w:tcPr>
          <w:p>
            <w:pPr>
              <w:spacing w:after="20" w:line="240" w:lineRule="auto"/>
            </w:pPr>
            <w:r>
              <w:rPr>
                <w:rFonts w:ascii="Aptos" w:hAnsi="Aptos"/>
                <w:color w:val="202A33"/>
                <w:sz w:val="17"/>
              </w:rPr>
              <w:t>role_selected, profile_step_completed, onboarding_completed, invitation_sent, invitation_accepted</w:t>
            </w:r>
          </w:p>
        </w:tc>
      </w:tr>
      <w:tr>
        <w:trPr>
          <w:cantSplit/>
        </w:trPr>
        <w:tc>
          <w:tcPr>
            <w:tcW w:type="dxa" w:w="2200"/>
            <w:tcMar>
              <w:top w:w="90" w:type="dxa"/>
              <w:start w:w="110" w:type="dxa"/>
              <w:bottom w:w="90" w:type="dxa"/>
              <w:end w:w="110" w:type="dxa"/>
            </w:tcMar>
            <w:vAlign w:val="center"/>
          </w:tcPr>
          <w:p>
            <w:pPr>
              <w:spacing w:after="20" w:line="240" w:lineRule="auto"/>
            </w:pPr>
            <w:r>
              <w:rPr>
                <w:rFonts w:ascii="Aptos" w:hAnsi="Aptos"/>
                <w:color w:val="202A33"/>
                <w:sz w:val="17"/>
              </w:rPr>
              <w:t>Engagement</w:t>
            </w:r>
          </w:p>
        </w:tc>
        <w:tc>
          <w:tcPr>
            <w:tcW w:type="dxa" w:w="7160"/>
            <w:tcMar>
              <w:top w:w="90" w:type="dxa"/>
              <w:start w:w="110" w:type="dxa"/>
              <w:bottom w:w="90" w:type="dxa"/>
              <w:end w:w="110" w:type="dxa"/>
            </w:tcMar>
            <w:vAlign w:val="center"/>
          </w:tcPr>
          <w:p>
            <w:pPr>
              <w:spacing w:after="20" w:line="240" w:lineRule="auto"/>
            </w:pPr>
            <w:r>
              <w:rPr>
                <w:rFonts w:ascii="Aptos" w:hAnsi="Aptos"/>
                <w:color w:val="202A33"/>
                <w:sz w:val="17"/>
              </w:rPr>
              <w:t>member_prompt_submitted, answer_completed, news_opened, directory_filtered, profile_saved, contact_requested</w:t>
            </w:r>
          </w:p>
        </w:tc>
      </w:tr>
      <w:tr>
        <w:trPr>
          <w:cantSplit/>
        </w:trPr>
        <w:tc>
          <w:tcPr>
            <w:tcW w:type="dxa" w:w="2200"/>
            <w:shd w:fill="FAFBFC"/>
            <w:tcMar>
              <w:top w:w="90" w:type="dxa"/>
              <w:start w:w="110" w:type="dxa"/>
              <w:bottom w:w="90" w:type="dxa"/>
              <w:end w:w="110" w:type="dxa"/>
            </w:tcMar>
            <w:vAlign w:val="center"/>
          </w:tcPr>
          <w:p>
            <w:pPr>
              <w:spacing w:after="20" w:line="240" w:lineRule="auto"/>
            </w:pPr>
            <w:r>
              <w:rPr>
                <w:rFonts w:ascii="Aptos" w:hAnsi="Aptos"/>
                <w:color w:val="202A33"/>
                <w:sz w:val="17"/>
              </w:rPr>
              <w:t>Sharing</w:t>
            </w:r>
          </w:p>
        </w:tc>
        <w:tc>
          <w:tcPr>
            <w:tcW w:type="dxa" w:w="7160"/>
            <w:shd w:fill="FAFBFC"/>
            <w:tcMar>
              <w:top w:w="90" w:type="dxa"/>
              <w:start w:w="110" w:type="dxa"/>
              <w:bottom w:w="90" w:type="dxa"/>
              <w:end w:w="110" w:type="dxa"/>
            </w:tcMar>
            <w:vAlign w:val="center"/>
          </w:tcPr>
          <w:p>
            <w:pPr>
              <w:spacing w:after="20" w:line="240" w:lineRule="auto"/>
            </w:pPr>
            <w:r>
              <w:rPr>
                <w:rFonts w:ascii="Aptos" w:hAnsi="Aptos"/>
                <w:color w:val="202A33"/>
                <w:sz w:val="17"/>
              </w:rPr>
              <w:t>snapshot_created, snapshot_sent, snapshot_viewed, snapshot_downloaded, snapshot_revoked, snapshot_expired</w:t>
            </w:r>
          </w:p>
        </w:tc>
      </w:tr>
      <w:tr>
        <w:trPr>
          <w:cantSplit/>
        </w:trPr>
        <w:tc>
          <w:tcPr>
            <w:tcW w:type="dxa" w:w="2200"/>
            <w:tcMar>
              <w:top w:w="90" w:type="dxa"/>
              <w:start w:w="110" w:type="dxa"/>
              <w:bottom w:w="90" w:type="dxa"/>
              <w:end w:w="110" w:type="dxa"/>
            </w:tcMar>
            <w:vAlign w:val="center"/>
          </w:tcPr>
          <w:p>
            <w:pPr>
              <w:spacing w:after="20" w:line="240" w:lineRule="auto"/>
            </w:pPr>
            <w:r>
              <w:rPr>
                <w:rFonts w:ascii="Aptos" w:hAnsi="Aptos"/>
                <w:color w:val="202A33"/>
                <w:sz w:val="17"/>
              </w:rPr>
              <w:t>Reliability/cost</w:t>
            </w:r>
          </w:p>
        </w:tc>
        <w:tc>
          <w:tcPr>
            <w:tcW w:type="dxa" w:w="7160"/>
            <w:tcMar>
              <w:top w:w="90" w:type="dxa"/>
              <w:start w:w="110" w:type="dxa"/>
              <w:bottom w:w="90" w:type="dxa"/>
              <w:end w:w="110" w:type="dxa"/>
            </w:tcMar>
            <w:vAlign w:val="center"/>
          </w:tcPr>
          <w:p>
            <w:pPr>
              <w:spacing w:after="20" w:line="240" w:lineRule="auto"/>
            </w:pPr>
            <w:r>
              <w:rPr>
                <w:rFonts w:ascii="Aptos" w:hAnsi="Aptos"/>
                <w:color w:val="202A33"/>
                <w:sz w:val="17"/>
              </w:rPr>
              <w:t>ai_error, ingestion_error, email_delivery_result, service_usage_recorded, cost_entry_imported, budget_threshold_crossed</w:t>
            </w:r>
          </w:p>
        </w:tc>
      </w:tr>
    </w:tbl>
    <w:p>
      <w:pPr>
        <w:spacing w:after="20"/>
      </w:pPr>
    </w:p>
    <w:p>
      <w:pPr>
        <w:pStyle w:val="Heading1"/>
        <w:keepNext/>
      </w:pPr>
      <w:r>
        <w:t>8. Security, privacy, and accessibility</w:t>
      </w:r>
    </w:p>
    <w:p>
      <w:pPr>
        <w:pStyle w:val="Heading2"/>
        <w:keepNext/>
      </w:pPr>
      <w:r>
        <w:t>8.1 Security baseline</w:t>
      </w:r>
    </w:p>
    <w:p>
      <w:pPr>
        <w:pStyle w:val="ListBullet"/>
      </w:pPr>
      <w:r>
        <w:t>TLS in transit and managed encryption at rest; secrets stored only in managed environment configuration.</w:t>
      </w:r>
    </w:p>
    <w:p>
      <w:pPr>
        <w:pStyle w:val="ListBullet"/>
      </w:pPr>
      <w:r>
        <w:t>Row-level security and authorization tests for every tenant-owned domain.</w:t>
      </w:r>
    </w:p>
    <w:p>
      <w:pPr>
        <w:pStyle w:val="ListBullet"/>
      </w:pPr>
      <w:r>
        <w:t>Separate management deployment, management allowlist/role, MFA requirement, shorter session lifetime, and privileged audit trail.</w:t>
      </w:r>
    </w:p>
    <w:p>
      <w:pPr>
        <w:pStyle w:val="ListBullet"/>
      </w:pPr>
      <w:r>
        <w:t>Rate limiting, abuse detection, CSRF protection where applicable, secure cookies, input validation, and output encoding.</w:t>
      </w:r>
    </w:p>
    <w:p>
      <w:pPr>
        <w:pStyle w:val="ListBullet"/>
      </w:pPr>
      <w:r>
        <w:t>Non-indexed snapshot routes, high-entropy access tokens, expiration checks, recipient binding where enabled, and revocation on every request.</w:t>
      </w:r>
    </w:p>
    <w:p>
      <w:pPr>
        <w:pStyle w:val="ListBullet"/>
      </w:pPr>
      <w:r>
        <w:t>Backup and restore procedure tested before launch; incident contacts and kill switches documented.</w:t>
      </w:r>
    </w:p>
    <w:p>
      <w:pPr>
        <w:pStyle w:val="Heading2"/>
        <w:keepNext/>
      </w:pPr>
      <w:r>
        <w:t>8.2 Privacy and AI transparency</w:t>
      </w:r>
    </w:p>
    <w:p>
      <w:pPr>
        <w:pStyle w:val="ListBullet"/>
      </w:pPr>
      <w:r>
        <w:t>Clear disclosure of what organization context is sent to the model and an option to exclude it for a conversation.</w:t>
      </w:r>
    </w:p>
    <w:p>
      <w:pPr>
        <w:pStyle w:val="ListBullet"/>
      </w:pPr>
      <w:r>
        <w:t>No private company record is used to answer a different tenant or train a public-facing platform model.</w:t>
      </w:r>
    </w:p>
    <w:p>
      <w:pPr>
        <w:pStyle w:val="ListBullet"/>
      </w:pPr>
      <w:r>
        <w:t>Retention periods are configurable for conversations, access logs, and operational events; deletion requests honor legal retention exceptions.</w:t>
      </w:r>
    </w:p>
    <w:p>
      <w:pPr>
        <w:pStyle w:val="ListBullet"/>
      </w:pPr>
      <w:r>
        <w:t>Public/news content and AI output are clearly distinguished; source links and dates are visible.</w:t>
      </w:r>
    </w:p>
    <w:p>
      <w:pPr>
        <w:pStyle w:val="ListBullet"/>
      </w:pPr>
      <w:r>
        <w:t>Terms, privacy notice, acceptable-use policy, and AI disclaimer must be approved before public launch.</w:t>
      </w:r>
    </w:p>
    <w:p>
      <w:pPr>
        <w:pStyle w:val="Heading2"/>
        <w:keepNext/>
      </w:pPr>
      <w:r>
        <w:t>8.3 Accessibility and usability baseline</w:t>
      </w:r>
    </w:p>
    <w:p>
      <w:pPr>
        <w:pStyle w:val="ListBullet"/>
      </w:pPr>
      <w:r>
        <w:t>Target WCAG 2.2 AA for core flows; semantic headings, landmarks, labels, keyboard access, and visible focus.</w:t>
      </w:r>
    </w:p>
    <w:p>
      <w:pPr>
        <w:pStyle w:val="ListBullet"/>
      </w:pPr>
      <w:r>
        <w:t>Color contrast meets AA and status is never conveyed by color alone.</w:t>
      </w:r>
    </w:p>
    <w:p>
      <w:pPr>
        <w:pStyle w:val="ListBullet"/>
      </w:pPr>
      <w:r>
        <w:t>Forms provide instructions, inline error text, error summary, and programmatic required-state labels.</w:t>
      </w:r>
    </w:p>
    <w:p>
      <w:pPr>
        <w:pStyle w:val="ListBullet"/>
      </w:pPr>
      <w:r>
        <w:t>Chat updates are announced without stealing focus; streaming output can be paused or read after completion.</w:t>
      </w:r>
    </w:p>
    <w:p>
      <w:pPr>
        <w:pStyle w:val="ListBullet"/>
      </w:pPr>
      <w:r>
        <w:t>Touch targets, responsive reflow, reduced-motion preference, and meaningful link text are supported.</w:t>
      </w:r>
    </w:p>
    <w:p>
      <w:pPr>
        <w:pStyle w:val="Heading1"/>
        <w:keepNext/>
      </w:pPr>
      <w:r>
        <w:t>9. Acceptance criteria and release plan</w:t>
      </w:r>
    </w:p>
    <w:p>
      <w:pPr>
        <w:pStyle w:val="Heading2"/>
        <w:keepNext/>
      </w:pPr>
      <w:r>
        <w:t>9.1 Release gates</w:t>
      </w:r>
    </w:p>
    <w:tbl>
      <w:tblPr>
        <w:tblStyle w:val="TableGrid"/>
        <w:tblW w:type="dxa" w:w="9360"/>
        <w:tblLayout w:type="fixed"/>
        <w:tblLook w:firstColumn="1" w:firstRow="1" w:lastColumn="0" w:lastRow="0" w:noHBand="0" w:noVBand="1" w:val="04A0"/>
        <w:jc w:val="left"/>
        <w:tblInd w:w="0" w:type="dxa"/>
      </w:tblPr>
      <w:tblGrid>
        <w:gridCol w:w="1800"/>
        <w:gridCol w:w="7560"/>
      </w:tblGrid>
      <w:tr>
        <w:trPr>
          <w:tblHeader w:val="true"/>
          <w:cantSplit/>
        </w:trPr>
        <w:tc>
          <w:tcPr>
            <w:tcW w:type="dxa" w:w="1800"/>
            <w:tcMar>
              <w:top w:w="90" w:type="dxa"/>
              <w:start w:w="110" w:type="dxa"/>
              <w:bottom w:w="90" w:type="dxa"/>
              <w:end w:w="110" w:type="dxa"/>
            </w:tcMar>
            <w:vAlign w:val="center"/>
            <w:shd w:fill="17324D"/>
          </w:tcPr>
          <w:p>
            <w:r>
              <w:rPr>
                <w:rFonts w:ascii="Aptos" w:hAnsi="Aptos"/>
                <w:b/>
                <w:color w:val="FFFFFF"/>
                <w:sz w:val="17"/>
              </w:rPr>
              <w:t>Gate</w:t>
            </w:r>
          </w:p>
        </w:tc>
        <w:tc>
          <w:tcPr>
            <w:tcW w:type="dxa" w:w="7560"/>
            <w:tcMar>
              <w:top w:w="90" w:type="dxa"/>
              <w:start w:w="110" w:type="dxa"/>
              <w:bottom w:w="90" w:type="dxa"/>
              <w:end w:w="110" w:type="dxa"/>
            </w:tcMar>
            <w:vAlign w:val="center"/>
            <w:shd w:fill="17324D"/>
          </w:tcPr>
          <w:p>
            <w:r>
              <w:rPr>
                <w:rFonts w:ascii="Aptos" w:hAnsi="Aptos"/>
                <w:b/>
                <w:color w:val="FFFFFF"/>
                <w:sz w:val="17"/>
              </w:rPr>
              <w:t>Pass condition</w:t>
            </w:r>
          </w:p>
        </w:tc>
      </w:tr>
      <w:tr>
        <w:trPr>
          <w:cantSplit/>
        </w:trPr>
        <w:tc>
          <w:tcPr>
            <w:tcW w:type="dxa" w:w="1800"/>
            <w:tcMar>
              <w:top w:w="90" w:type="dxa"/>
              <w:start w:w="110" w:type="dxa"/>
              <w:bottom w:w="90" w:type="dxa"/>
              <w:end w:w="110" w:type="dxa"/>
            </w:tcMar>
            <w:vAlign w:val="center"/>
          </w:tcPr>
          <w:p>
            <w:pPr>
              <w:spacing w:after="20" w:line="240" w:lineRule="auto"/>
            </w:pPr>
            <w:r>
              <w:rPr>
                <w:rFonts w:ascii="Aptos" w:hAnsi="Aptos"/>
                <w:color w:val="202A33"/>
                <w:sz w:val="17"/>
              </w:rPr>
              <w:t>Product</w:t>
            </w:r>
          </w:p>
        </w:tc>
        <w:tc>
          <w:tcPr>
            <w:tcW w:type="dxa" w:w="7560"/>
            <w:tcMar>
              <w:top w:w="90" w:type="dxa"/>
              <w:start w:w="110" w:type="dxa"/>
              <w:bottom w:w="90" w:type="dxa"/>
              <w:end w:w="110" w:type="dxa"/>
            </w:tcMar>
            <w:vAlign w:val="center"/>
          </w:tcPr>
          <w:p>
            <w:pPr>
              <w:spacing w:after="20" w:line="240" w:lineRule="auto"/>
            </w:pPr>
            <w:r>
              <w:rPr>
                <w:rFonts w:ascii="Aptos" w:hAnsi="Aptos"/>
                <w:color w:val="202A33"/>
                <w:sz w:val="17"/>
              </w:rPr>
              <w:t>All three role journeys complete; management operates from separate app; public chat/news and platform introduction match approved hierarchy.</w:t>
            </w:r>
          </w:p>
        </w:tc>
      </w:tr>
      <w:tr>
        <w:trPr>
          <w:cantSplit/>
        </w:trPr>
        <w:tc>
          <w:tcPr>
            <w:tcW w:type="dxa" w:w="1800"/>
            <w:shd w:fill="FAFBFC"/>
            <w:tcMar>
              <w:top w:w="90" w:type="dxa"/>
              <w:start w:w="110" w:type="dxa"/>
              <w:bottom w:w="90" w:type="dxa"/>
              <w:end w:w="110" w:type="dxa"/>
            </w:tcMar>
            <w:vAlign w:val="center"/>
          </w:tcPr>
          <w:p>
            <w:pPr>
              <w:spacing w:after="20" w:line="240" w:lineRule="auto"/>
            </w:pPr>
            <w:r>
              <w:rPr>
                <w:rFonts w:ascii="Aptos" w:hAnsi="Aptos"/>
                <w:color w:val="202A33"/>
                <w:sz w:val="17"/>
              </w:rPr>
              <w:t>Permissions</w:t>
            </w:r>
          </w:p>
        </w:tc>
        <w:tc>
          <w:tcPr>
            <w:tcW w:type="dxa" w:w="7560"/>
            <w:shd w:fill="FAFBFC"/>
            <w:tcMar>
              <w:top w:w="90" w:type="dxa"/>
              <w:start w:w="110" w:type="dxa"/>
              <w:bottom w:w="90" w:type="dxa"/>
              <w:end w:w="110" w:type="dxa"/>
            </w:tcMar>
            <w:vAlign w:val="center"/>
          </w:tcPr>
          <w:p>
            <w:pPr>
              <w:spacing w:after="20" w:line="240" w:lineRule="auto"/>
            </w:pPr>
            <w:r>
              <w:rPr>
                <w:rFonts w:ascii="Aptos" w:hAnsi="Aptos"/>
                <w:color w:val="202A33"/>
                <w:sz w:val="17"/>
              </w:rPr>
              <w:t>Automated tests prove cross-tenant denials, role restrictions, snapshot expiration/revocation, and management-only access.</w:t>
            </w:r>
          </w:p>
        </w:tc>
      </w:tr>
      <w:tr>
        <w:trPr>
          <w:cantSplit/>
        </w:trPr>
        <w:tc>
          <w:tcPr>
            <w:tcW w:type="dxa" w:w="1800"/>
            <w:tcMar>
              <w:top w:w="90" w:type="dxa"/>
              <w:start w:w="110" w:type="dxa"/>
              <w:bottom w:w="90" w:type="dxa"/>
              <w:end w:w="110" w:type="dxa"/>
            </w:tcMar>
            <w:vAlign w:val="center"/>
          </w:tcPr>
          <w:p>
            <w:pPr>
              <w:spacing w:after="20" w:line="240" w:lineRule="auto"/>
            </w:pPr>
            <w:r>
              <w:rPr>
                <w:rFonts w:ascii="Aptos" w:hAnsi="Aptos"/>
                <w:color w:val="202A33"/>
                <w:sz w:val="17"/>
              </w:rPr>
              <w:t>Quality</w:t>
            </w:r>
          </w:p>
        </w:tc>
        <w:tc>
          <w:tcPr>
            <w:tcW w:type="dxa" w:w="7560"/>
            <w:tcMar>
              <w:top w:w="90" w:type="dxa"/>
              <w:start w:w="110" w:type="dxa"/>
              <w:bottom w:w="90" w:type="dxa"/>
              <w:end w:w="110" w:type="dxa"/>
            </w:tcMar>
            <w:vAlign w:val="center"/>
          </w:tcPr>
          <w:p>
            <w:pPr>
              <w:spacing w:after="20" w:line="240" w:lineRule="auto"/>
            </w:pPr>
            <w:r>
              <w:rPr>
                <w:rFonts w:ascii="Aptos" w:hAnsi="Aptos"/>
                <w:color w:val="202A33"/>
                <w:sz w:val="17"/>
              </w:rPr>
              <w:t>No critical defects; core flows pass current Chrome, Safari, Firefox, Edge, iOS Safari, and Android Chrome at agreed support versions.</w:t>
            </w:r>
          </w:p>
        </w:tc>
      </w:tr>
      <w:tr>
        <w:trPr>
          <w:cantSplit/>
        </w:trPr>
        <w:tc>
          <w:tcPr>
            <w:tcW w:type="dxa" w:w="1800"/>
            <w:shd w:fill="FAFBFC"/>
            <w:tcMar>
              <w:top w:w="90" w:type="dxa"/>
              <w:start w:w="110" w:type="dxa"/>
              <w:bottom w:w="90" w:type="dxa"/>
              <w:end w:w="110" w:type="dxa"/>
            </w:tcMar>
            <w:vAlign w:val="center"/>
          </w:tcPr>
          <w:p>
            <w:pPr>
              <w:spacing w:after="20" w:line="240" w:lineRule="auto"/>
            </w:pPr>
            <w:r>
              <w:rPr>
                <w:rFonts w:ascii="Aptos" w:hAnsi="Aptos"/>
                <w:color w:val="202A33"/>
                <w:sz w:val="17"/>
              </w:rPr>
              <w:t>Performance</w:t>
            </w:r>
          </w:p>
        </w:tc>
        <w:tc>
          <w:tcPr>
            <w:tcW w:type="dxa" w:w="7560"/>
            <w:shd w:fill="FAFBFC"/>
            <w:tcMar>
              <w:top w:w="90" w:type="dxa"/>
              <w:start w:w="110" w:type="dxa"/>
              <w:bottom w:w="90" w:type="dxa"/>
              <w:end w:w="110" w:type="dxa"/>
            </w:tcMar>
            <w:vAlign w:val="center"/>
          </w:tcPr>
          <w:p>
            <w:pPr>
              <w:spacing w:after="20" w:line="240" w:lineRule="auto"/>
            </w:pPr>
            <w:r>
              <w:rPr>
                <w:rFonts w:ascii="Aptos" w:hAnsi="Aptos"/>
                <w:color w:val="202A33"/>
                <w:sz w:val="17"/>
              </w:rPr>
              <w:t>Core pages and primary chat submission meet an approved performance budget under expected launch load; external-service latency is measured separately.</w:t>
            </w:r>
          </w:p>
        </w:tc>
      </w:tr>
      <w:tr>
        <w:trPr>
          <w:cantSplit/>
        </w:trPr>
        <w:tc>
          <w:tcPr>
            <w:tcW w:type="dxa" w:w="1800"/>
            <w:tcMar>
              <w:top w:w="90" w:type="dxa"/>
              <w:start w:w="110" w:type="dxa"/>
              <w:bottom w:w="90" w:type="dxa"/>
              <w:end w:w="110" w:type="dxa"/>
            </w:tcMar>
            <w:vAlign w:val="center"/>
          </w:tcPr>
          <w:p>
            <w:pPr>
              <w:spacing w:after="20" w:line="240" w:lineRule="auto"/>
            </w:pPr>
            <w:r>
              <w:rPr>
                <w:rFonts w:ascii="Aptos" w:hAnsi="Aptos"/>
                <w:color w:val="202A33"/>
                <w:sz w:val="17"/>
              </w:rPr>
              <w:t>Security/privacy</w:t>
            </w:r>
          </w:p>
        </w:tc>
        <w:tc>
          <w:tcPr>
            <w:tcW w:type="dxa" w:w="7560"/>
            <w:tcMar>
              <w:top w:w="90" w:type="dxa"/>
              <w:start w:w="110" w:type="dxa"/>
              <w:bottom w:w="90" w:type="dxa"/>
              <w:end w:w="110" w:type="dxa"/>
            </w:tcMar>
            <w:vAlign w:val="center"/>
          </w:tcPr>
          <w:p>
            <w:pPr>
              <w:spacing w:after="20" w:line="240" w:lineRule="auto"/>
            </w:pPr>
            <w:r>
              <w:rPr>
                <w:rFonts w:ascii="Aptos" w:hAnsi="Aptos"/>
                <w:color w:val="202A33"/>
                <w:sz w:val="17"/>
              </w:rPr>
              <w:t>Threat review complete; secrets scan clean; backup/restore tested; policies and AI disclosure approved.</w:t>
            </w:r>
          </w:p>
        </w:tc>
      </w:tr>
      <w:tr>
        <w:trPr>
          <w:cantSplit/>
        </w:trPr>
        <w:tc>
          <w:tcPr>
            <w:tcW w:type="dxa" w:w="1800"/>
            <w:shd w:fill="FAFBFC"/>
            <w:tcMar>
              <w:top w:w="90" w:type="dxa"/>
              <w:start w:w="110" w:type="dxa"/>
              <w:bottom w:w="90" w:type="dxa"/>
              <w:end w:w="110" w:type="dxa"/>
            </w:tcMar>
            <w:vAlign w:val="center"/>
          </w:tcPr>
          <w:p>
            <w:pPr>
              <w:spacing w:after="20" w:line="240" w:lineRule="auto"/>
            </w:pPr>
            <w:r>
              <w:rPr>
                <w:rFonts w:ascii="Aptos" w:hAnsi="Aptos"/>
                <w:color w:val="202A33"/>
                <w:sz w:val="17"/>
              </w:rPr>
              <w:t>Operations</w:t>
            </w:r>
          </w:p>
        </w:tc>
        <w:tc>
          <w:tcPr>
            <w:tcW w:type="dxa" w:w="7560"/>
            <w:shd w:fill="FAFBFC"/>
            <w:tcMar>
              <w:top w:w="90" w:type="dxa"/>
              <w:start w:w="110" w:type="dxa"/>
              <w:bottom w:w="90" w:type="dxa"/>
              <w:end w:w="110" w:type="dxa"/>
            </w:tcMar>
            <w:vAlign w:val="center"/>
          </w:tcPr>
          <w:p>
            <w:pPr>
              <w:spacing w:after="20" w:line="240" w:lineRule="auto"/>
            </w:pPr>
            <w:r>
              <w:rPr>
                <w:rFonts w:ascii="Aptos" w:hAnsi="Aptos"/>
                <w:color w:val="202A33"/>
                <w:sz w:val="17"/>
              </w:rPr>
              <w:t>Dashboards show usage and vendor cost; alerts and kill switches tested; support/runbook owners assigned.</w:t>
            </w:r>
          </w:p>
        </w:tc>
      </w:tr>
    </w:tbl>
    <w:p>
      <w:pPr>
        <w:spacing w:after="20"/>
      </w:pPr>
    </w:p>
    <w:p>
      <w:pPr>
        <w:pStyle w:val="Heading2"/>
        <w:keepNext/>
      </w:pPr>
      <w:r>
        <w:t>9.2 Module acceptance criteria</w:t>
      </w:r>
    </w:p>
    <w:p>
      <w:pPr>
        <w:pStyle w:val="ListBullet"/>
      </w:pPr>
      <w:r>
        <w:t>Public home: visitor sees the chat composer and current news without scrolling on a common laptop viewport; platform introduction remains discoverable below.</w:t>
      </w:r>
    </w:p>
    <w:p>
      <w:pPr>
        <w:pStyle w:val="ListBullet"/>
      </w:pPr>
      <w:r>
        <w:t>Identity: each role completes email verification and role onboarding; dashboard and required fields match the selected role.</w:t>
      </w:r>
    </w:p>
    <w:p>
      <w:pPr>
        <w:pStyle w:val="ListBullet"/>
      </w:pPr>
      <w:r>
        <w:t>Founder hub: owner can save company status and milestones; another tenant cannot read them; selected fields can be excluded from AI context.</w:t>
      </w:r>
    </w:p>
    <w:p>
      <w:pPr>
        <w:pStyle w:val="ListBullet"/>
      </w:pPr>
      <w:r>
        <w:t>Assistant: public preview is limited; member history is saved only to that tenant; active context is disclosed; usage and estimated cost are recorded.</w:t>
      </w:r>
    </w:p>
    <w:p>
      <w:pPr>
        <w:pStyle w:val="ListBullet"/>
      </w:pPr>
      <w:r>
        <w:t>News/directory: management can publish and unpublish content; members can filter and save; source attribution is visible.</w:t>
      </w:r>
    </w:p>
    <w:p>
      <w:pPr>
        <w:pStyle w:val="ListBullet"/>
      </w:pPr>
      <w:r>
        <w:t>Snapshot: founder selects fields and recipient, sets expiry, publishes, sees views, and revokes; omitted fields and workspace routes remain inaccessible.</w:t>
      </w:r>
    </w:p>
    <w:p>
      <w:pPr>
        <w:pStyle w:val="ListBullet"/>
      </w:pPr>
      <w:r>
        <w:t>Management: staff can find accounts, moderate content, change configuration, view usage/cost, export data, and inspect audit events only after management authentication.</w:t>
      </w:r>
    </w:p>
    <w:p>
      <w:pPr>
        <w:pStyle w:val="Heading2"/>
        <w:keepNext/>
      </w:pPr>
      <w:r>
        <w:t>9.3 Recommended delivery sequence</w:t>
      </w:r>
    </w:p>
    <w:tbl>
      <w:tblPr>
        <w:tblStyle w:val="TableGrid"/>
        <w:tblW w:type="dxa" w:w="9360"/>
        <w:tblLayout w:type="fixed"/>
        <w:tblLook w:firstColumn="1" w:firstRow="1" w:lastColumn="0" w:lastRow="0" w:noHBand="0" w:noVBand="1" w:val="04A0"/>
        <w:jc w:val="left"/>
        <w:tblInd w:w="0" w:type="dxa"/>
      </w:tblPr>
      <w:tblGrid>
        <w:gridCol w:w="1800"/>
        <w:gridCol w:w="7560"/>
      </w:tblGrid>
      <w:tr>
        <w:trPr>
          <w:tblHeader w:val="true"/>
          <w:cantSplit/>
        </w:trPr>
        <w:tc>
          <w:tcPr>
            <w:tcW w:type="dxa" w:w="1800"/>
            <w:tcMar>
              <w:top w:w="90" w:type="dxa"/>
              <w:start w:w="110" w:type="dxa"/>
              <w:bottom w:w="90" w:type="dxa"/>
              <w:end w:w="110" w:type="dxa"/>
            </w:tcMar>
            <w:vAlign w:val="center"/>
            <w:shd w:fill="17324D"/>
          </w:tcPr>
          <w:p>
            <w:r>
              <w:rPr>
                <w:rFonts w:ascii="Aptos" w:hAnsi="Aptos"/>
                <w:b/>
                <w:color w:val="FFFFFF"/>
                <w:sz w:val="17"/>
              </w:rPr>
              <w:t>Increment</w:t>
            </w:r>
          </w:p>
        </w:tc>
        <w:tc>
          <w:tcPr>
            <w:tcW w:type="dxa" w:w="7560"/>
            <w:tcMar>
              <w:top w:w="90" w:type="dxa"/>
              <w:start w:w="110" w:type="dxa"/>
              <w:bottom w:w="90" w:type="dxa"/>
              <w:end w:w="110" w:type="dxa"/>
            </w:tcMar>
            <w:vAlign w:val="center"/>
            <w:shd w:fill="17324D"/>
          </w:tcPr>
          <w:p>
            <w:r>
              <w:rPr>
                <w:rFonts w:ascii="Aptos" w:hAnsi="Aptos"/>
                <w:b/>
                <w:color w:val="FFFFFF"/>
                <w:sz w:val="17"/>
              </w:rPr>
              <w:t>Deliverable</w:t>
            </w:r>
          </w:p>
        </w:tc>
      </w:tr>
      <w:tr>
        <w:trPr>
          <w:cantSplit/>
        </w:trPr>
        <w:tc>
          <w:tcPr>
            <w:tcW w:type="dxa" w:w="1800"/>
            <w:tcMar>
              <w:top w:w="90" w:type="dxa"/>
              <w:start w:w="110" w:type="dxa"/>
              <w:bottom w:w="90" w:type="dxa"/>
              <w:end w:w="110" w:type="dxa"/>
            </w:tcMar>
            <w:vAlign w:val="center"/>
          </w:tcPr>
          <w:p>
            <w:pPr>
              <w:spacing w:after="20" w:line="240" w:lineRule="auto"/>
            </w:pPr>
            <w:r>
              <w:rPr>
                <w:rFonts w:ascii="Aptos" w:hAnsi="Aptos"/>
                <w:color w:val="202A33"/>
                <w:sz w:val="17"/>
              </w:rPr>
              <w:t>1. Foundation</w:t>
            </w:r>
          </w:p>
        </w:tc>
        <w:tc>
          <w:tcPr>
            <w:tcW w:type="dxa" w:w="7560"/>
            <w:tcMar>
              <w:top w:w="90" w:type="dxa"/>
              <w:start w:w="110" w:type="dxa"/>
              <w:bottom w:w="90" w:type="dxa"/>
              <w:end w:w="110" w:type="dxa"/>
            </w:tcMar>
            <w:vAlign w:val="center"/>
          </w:tcPr>
          <w:p>
            <w:pPr>
              <w:spacing w:after="20" w:line="240" w:lineRule="auto"/>
            </w:pPr>
            <w:r>
              <w:rPr>
                <w:rFonts w:ascii="Aptos" w:hAnsi="Aptos"/>
                <w:color w:val="202A33"/>
                <w:sz w:val="17"/>
              </w:rPr>
              <w:t>Shared design system, schemas, authentication, tenancy/RLS, environments, logging, and two-app deployment skeleton.</w:t>
            </w:r>
          </w:p>
        </w:tc>
      </w:tr>
      <w:tr>
        <w:trPr>
          <w:cantSplit/>
        </w:trPr>
        <w:tc>
          <w:tcPr>
            <w:tcW w:type="dxa" w:w="1800"/>
            <w:shd w:fill="FAFBFC"/>
            <w:tcMar>
              <w:top w:w="90" w:type="dxa"/>
              <w:start w:w="110" w:type="dxa"/>
              <w:bottom w:w="90" w:type="dxa"/>
              <w:end w:w="110" w:type="dxa"/>
            </w:tcMar>
            <w:vAlign w:val="center"/>
          </w:tcPr>
          <w:p>
            <w:pPr>
              <w:spacing w:after="20" w:line="240" w:lineRule="auto"/>
            </w:pPr>
            <w:r>
              <w:rPr>
                <w:rFonts w:ascii="Aptos" w:hAnsi="Aptos"/>
                <w:color w:val="202A33"/>
                <w:sz w:val="17"/>
              </w:rPr>
              <w:t>2. Public + onboarding</w:t>
            </w:r>
          </w:p>
        </w:tc>
        <w:tc>
          <w:tcPr>
            <w:tcW w:type="dxa" w:w="7560"/>
            <w:shd w:fill="FAFBFC"/>
            <w:tcMar>
              <w:top w:w="90" w:type="dxa"/>
              <w:start w:w="110" w:type="dxa"/>
              <w:bottom w:w="90" w:type="dxa"/>
              <w:end w:w="110" w:type="dxa"/>
            </w:tcMar>
            <w:vAlign w:val="center"/>
          </w:tcPr>
          <w:p>
            <w:pPr>
              <w:spacing w:after="20" w:line="240" w:lineRule="auto"/>
            </w:pPr>
            <w:r>
              <w:rPr>
                <w:rFonts w:ascii="Aptos" w:hAnsi="Aptos"/>
                <w:color w:val="202A33"/>
                <w:sz w:val="17"/>
              </w:rPr>
              <w:t>Chat/news home, product introduction, registration, three role flows, profiles, and dashboards.</w:t>
            </w:r>
          </w:p>
        </w:tc>
      </w:tr>
      <w:tr>
        <w:trPr>
          <w:cantSplit/>
        </w:trPr>
        <w:tc>
          <w:tcPr>
            <w:tcW w:type="dxa" w:w="1800"/>
            <w:tcMar>
              <w:top w:w="90" w:type="dxa"/>
              <w:start w:w="110" w:type="dxa"/>
              <w:bottom w:w="90" w:type="dxa"/>
              <w:end w:w="110" w:type="dxa"/>
            </w:tcMar>
            <w:vAlign w:val="center"/>
          </w:tcPr>
          <w:p>
            <w:pPr>
              <w:spacing w:after="20" w:line="240" w:lineRule="auto"/>
            </w:pPr>
            <w:r>
              <w:rPr>
                <w:rFonts w:ascii="Aptos" w:hAnsi="Aptos"/>
                <w:color w:val="202A33"/>
                <w:sz w:val="17"/>
              </w:rPr>
              <w:t>3. Founder value</w:t>
            </w:r>
          </w:p>
        </w:tc>
        <w:tc>
          <w:tcPr>
            <w:tcW w:type="dxa" w:w="7560"/>
            <w:tcMar>
              <w:top w:w="90" w:type="dxa"/>
              <w:start w:w="110" w:type="dxa"/>
              <w:bottom w:w="90" w:type="dxa"/>
              <w:end w:w="110" w:type="dxa"/>
            </w:tcMar>
            <w:vAlign w:val="center"/>
          </w:tcPr>
          <w:p>
            <w:pPr>
              <w:spacing w:after="20" w:line="240" w:lineRule="auto"/>
            </w:pPr>
            <w:r>
              <w:rPr>
                <w:rFonts w:ascii="Aptos" w:hAnsi="Aptos"/>
                <w:color w:val="202A33"/>
                <w:sz w:val="17"/>
              </w:rPr>
              <w:t>Company/status hub, context-aware assistant, news, and directory.</w:t>
            </w:r>
          </w:p>
        </w:tc>
      </w:tr>
      <w:tr>
        <w:trPr>
          <w:cantSplit/>
        </w:trPr>
        <w:tc>
          <w:tcPr>
            <w:tcW w:type="dxa" w:w="1800"/>
            <w:shd w:fill="FAFBFC"/>
            <w:tcMar>
              <w:top w:w="90" w:type="dxa"/>
              <w:start w:w="110" w:type="dxa"/>
              <w:bottom w:w="90" w:type="dxa"/>
              <w:end w:w="110" w:type="dxa"/>
            </w:tcMar>
            <w:vAlign w:val="center"/>
          </w:tcPr>
          <w:p>
            <w:pPr>
              <w:spacing w:after="20" w:line="240" w:lineRule="auto"/>
            </w:pPr>
            <w:r>
              <w:rPr>
                <w:rFonts w:ascii="Aptos" w:hAnsi="Aptos"/>
                <w:color w:val="202A33"/>
                <w:sz w:val="17"/>
              </w:rPr>
              <w:t>4. Network + sharing</w:t>
            </w:r>
          </w:p>
        </w:tc>
        <w:tc>
          <w:tcPr>
            <w:tcW w:type="dxa" w:w="7560"/>
            <w:shd w:fill="FAFBFC"/>
            <w:tcMar>
              <w:top w:w="90" w:type="dxa"/>
              <w:start w:w="110" w:type="dxa"/>
              <w:bottom w:w="90" w:type="dxa"/>
              <w:end w:w="110" w:type="dxa"/>
            </w:tcMar>
            <w:vAlign w:val="center"/>
          </w:tcPr>
          <w:p>
            <w:pPr>
              <w:spacing w:after="20" w:line="240" w:lineRule="auto"/>
            </w:pPr>
            <w:r>
              <w:rPr>
                <w:rFonts w:ascii="Aptos" w:hAnsi="Aptos"/>
                <w:color w:val="202A33"/>
                <w:sz w:val="17"/>
              </w:rPr>
              <w:t>Provider/VC enhancements, communities, contact requests, company snapshot and access log.</w:t>
            </w:r>
          </w:p>
        </w:tc>
      </w:tr>
      <w:tr>
        <w:trPr>
          <w:cantSplit/>
        </w:trPr>
        <w:tc>
          <w:tcPr>
            <w:tcW w:type="dxa" w:w="1800"/>
            <w:tcMar>
              <w:top w:w="90" w:type="dxa"/>
              <w:start w:w="110" w:type="dxa"/>
              <w:bottom w:w="90" w:type="dxa"/>
              <w:end w:w="110" w:type="dxa"/>
            </w:tcMar>
            <w:vAlign w:val="center"/>
          </w:tcPr>
          <w:p>
            <w:pPr>
              <w:spacing w:after="20" w:line="240" w:lineRule="auto"/>
            </w:pPr>
            <w:r>
              <w:rPr>
                <w:rFonts w:ascii="Aptos" w:hAnsi="Aptos"/>
                <w:color w:val="202A33"/>
                <w:sz w:val="17"/>
              </w:rPr>
              <w:t>5. Operations + hardening</w:t>
            </w:r>
          </w:p>
        </w:tc>
        <w:tc>
          <w:tcPr>
            <w:tcW w:type="dxa" w:w="7560"/>
            <w:tcMar>
              <w:top w:w="90" w:type="dxa"/>
              <w:start w:w="110" w:type="dxa"/>
              <w:bottom w:w="90" w:type="dxa"/>
              <w:end w:w="110" w:type="dxa"/>
            </w:tcMar>
            <w:vAlign w:val="center"/>
          </w:tcPr>
          <w:p>
            <w:pPr>
              <w:spacing w:after="20" w:line="240" w:lineRule="auto"/>
            </w:pPr>
            <w:r>
              <w:rPr>
                <w:rFonts w:ascii="Aptos" w:hAnsi="Aptos"/>
                <w:color w:val="202A33"/>
                <w:sz w:val="17"/>
              </w:rPr>
              <w:t>Management workflows, usage/cost center, accessibility, security tests, performance, content population, and release runbooks.</w:t>
            </w:r>
          </w:p>
        </w:tc>
      </w:tr>
    </w:tbl>
    <w:p>
      <w:pPr>
        <w:spacing w:after="20"/>
      </w:pPr>
    </w:p>
    <w:p>
      <w:pPr>
        <w:pStyle w:val="Heading1"/>
        <w:keepNext/>
      </w:pPr>
      <w:r>
        <w:t>10. Stage 2 and Stage 3 extension path</w:t>
      </w:r>
    </w:p>
    <w:tbl>
      <w:tblPr>
        <w:tblStyle w:val="TableGrid"/>
        <w:tblW w:type="dxa" w:w="9360"/>
        <w:tblLayout w:type="fixed"/>
        <w:tblLook w:firstColumn="1" w:firstRow="1" w:lastColumn="0" w:lastRow="0" w:noHBand="0" w:noVBand="1" w:val="04A0"/>
        <w:jc w:val="left"/>
        <w:tblInd w:w="0" w:type="dxa"/>
      </w:tblPr>
      <w:tblGrid>
        <w:gridCol w:w="3000"/>
        <w:gridCol w:w="3180"/>
        <w:gridCol w:w="3180"/>
      </w:tblGrid>
      <w:tr>
        <w:trPr>
          <w:tblHeader w:val="true"/>
          <w:cantSplit/>
        </w:trPr>
        <w:tc>
          <w:tcPr>
            <w:tcW w:type="dxa" w:w="3000"/>
            <w:tcMar>
              <w:top w:w="90" w:type="dxa"/>
              <w:start w:w="110" w:type="dxa"/>
              <w:bottom w:w="90" w:type="dxa"/>
              <w:end w:w="110" w:type="dxa"/>
            </w:tcMar>
            <w:vAlign w:val="center"/>
            <w:shd w:fill="17324D"/>
          </w:tcPr>
          <w:p>
            <w:r>
              <w:rPr>
                <w:rFonts w:ascii="Aptos" w:hAnsi="Aptos"/>
                <w:b/>
                <w:color w:val="FFFFFF"/>
                <w:sz w:val="16"/>
              </w:rPr>
              <w:t>Stage 1 foundation</w:t>
            </w:r>
          </w:p>
        </w:tc>
        <w:tc>
          <w:tcPr>
            <w:tcW w:type="dxa" w:w="3180"/>
            <w:tcMar>
              <w:top w:w="90" w:type="dxa"/>
              <w:start w:w="110" w:type="dxa"/>
              <w:bottom w:w="90" w:type="dxa"/>
              <w:end w:w="110" w:type="dxa"/>
            </w:tcMar>
            <w:vAlign w:val="center"/>
            <w:shd w:fill="17324D"/>
          </w:tcPr>
          <w:p>
            <w:r>
              <w:rPr>
                <w:rFonts w:ascii="Aptos" w:hAnsi="Aptos"/>
                <w:b/>
                <w:color w:val="FFFFFF"/>
                <w:sz w:val="16"/>
              </w:rPr>
              <w:t>Stage 2 extension</w:t>
            </w:r>
          </w:p>
        </w:tc>
        <w:tc>
          <w:tcPr>
            <w:tcW w:type="dxa" w:w="3180"/>
            <w:tcMar>
              <w:top w:w="90" w:type="dxa"/>
              <w:start w:w="110" w:type="dxa"/>
              <w:bottom w:w="90" w:type="dxa"/>
              <w:end w:w="110" w:type="dxa"/>
            </w:tcMar>
            <w:vAlign w:val="center"/>
            <w:shd w:fill="17324D"/>
          </w:tcPr>
          <w:p>
            <w:r>
              <w:rPr>
                <w:rFonts w:ascii="Aptos" w:hAnsi="Aptos"/>
                <w:b/>
                <w:color w:val="FFFFFF"/>
                <w:sz w:val="16"/>
              </w:rPr>
              <w:t>Stage 3 extension</w:t>
            </w:r>
          </w:p>
        </w:tc>
      </w:tr>
      <w:tr>
        <w:trPr>
          <w:cantSplit/>
        </w:trPr>
        <w:tc>
          <w:tcPr>
            <w:tcW w:type="dxa" w:w="3000"/>
            <w:tcMar>
              <w:top w:w="90" w:type="dxa"/>
              <w:start w:w="110" w:type="dxa"/>
              <w:bottom w:w="90" w:type="dxa"/>
              <w:end w:w="110" w:type="dxa"/>
            </w:tcMar>
            <w:vAlign w:val="center"/>
          </w:tcPr>
          <w:p>
            <w:pPr>
              <w:spacing w:after="20" w:line="240" w:lineRule="auto"/>
            </w:pPr>
            <w:r>
              <w:rPr>
                <w:rFonts w:ascii="Aptos" w:hAnsi="Aptos"/>
                <w:color w:val="202A33"/>
                <w:sz w:val="16"/>
              </w:rPr>
              <w:t>Organizations, roles, and usage ledger</w:t>
            </w:r>
          </w:p>
        </w:tc>
        <w:tc>
          <w:tcPr>
            <w:tcW w:type="dxa" w:w="3180"/>
            <w:tcMar>
              <w:top w:w="90" w:type="dxa"/>
              <w:start w:w="110" w:type="dxa"/>
              <w:bottom w:w="90" w:type="dxa"/>
              <w:end w:w="110" w:type="dxa"/>
            </w:tcMar>
            <w:vAlign w:val="center"/>
          </w:tcPr>
          <w:p>
            <w:pPr>
              <w:spacing w:after="20" w:line="240" w:lineRule="auto"/>
            </w:pPr>
            <w:r>
              <w:rPr>
                <w:rFonts w:ascii="Aptos" w:hAnsi="Aptos"/>
                <w:color w:val="202A33"/>
                <w:sz w:val="16"/>
              </w:rPr>
              <w:t>Plans, subscriptions, entitlements, invoices, member billing</w:t>
            </w:r>
          </w:p>
        </w:tc>
        <w:tc>
          <w:tcPr>
            <w:tcW w:type="dxa" w:w="3180"/>
            <w:tcMar>
              <w:top w:w="90" w:type="dxa"/>
              <w:start w:w="110" w:type="dxa"/>
              <w:bottom w:w="90" w:type="dxa"/>
              <w:end w:w="110" w:type="dxa"/>
            </w:tcMar>
            <w:vAlign w:val="center"/>
          </w:tcPr>
          <w:p>
            <w:pPr>
              <w:spacing w:after="20" w:line="240" w:lineRule="auto"/>
            </w:pPr>
            <w:r>
              <w:rPr>
                <w:rFonts w:ascii="Aptos" w:hAnsi="Aptos"/>
                <w:color w:val="202A33"/>
                <w:sz w:val="16"/>
              </w:rPr>
              <w:t>Enterprise contracts, advanced governance, multi-region policies</w:t>
            </w:r>
          </w:p>
        </w:tc>
      </w:tr>
      <w:tr>
        <w:trPr>
          <w:cantSplit/>
        </w:trPr>
        <w:tc>
          <w:tcPr>
            <w:tcW w:type="dxa" w:w="3000"/>
            <w:shd w:fill="FAFBFC"/>
            <w:tcMar>
              <w:top w:w="90" w:type="dxa"/>
              <w:start w:w="110" w:type="dxa"/>
              <w:bottom w:w="90" w:type="dxa"/>
              <w:end w:w="110" w:type="dxa"/>
            </w:tcMar>
            <w:vAlign w:val="center"/>
          </w:tcPr>
          <w:p>
            <w:pPr>
              <w:spacing w:after="20" w:line="240" w:lineRule="auto"/>
            </w:pPr>
            <w:r>
              <w:rPr>
                <w:rFonts w:ascii="Aptos" w:hAnsi="Aptos"/>
                <w:color w:val="202A33"/>
                <w:sz w:val="16"/>
              </w:rPr>
              <w:t>Typed profiles and shared taxonomy</w:t>
            </w:r>
          </w:p>
        </w:tc>
        <w:tc>
          <w:tcPr>
            <w:tcW w:type="dxa" w:w="3180"/>
            <w:shd w:fill="FAFBFC"/>
            <w:tcMar>
              <w:top w:w="90" w:type="dxa"/>
              <w:start w:w="110" w:type="dxa"/>
              <w:bottom w:w="90" w:type="dxa"/>
              <w:end w:w="110" w:type="dxa"/>
            </w:tcMar>
            <w:vAlign w:val="center"/>
          </w:tcPr>
          <w:p>
            <w:pPr>
              <w:spacing w:after="20" w:line="240" w:lineRule="auto"/>
            </w:pPr>
            <w:r>
              <w:rPr>
                <w:rFonts w:ascii="Aptos" w:hAnsi="Aptos"/>
                <w:color w:val="202A33"/>
                <w:sz w:val="16"/>
              </w:rPr>
              <w:t>Rule-based matching, recommendations, service marketplace</w:t>
            </w:r>
          </w:p>
        </w:tc>
        <w:tc>
          <w:tcPr>
            <w:tcW w:type="dxa" w:w="3180"/>
            <w:shd w:fill="FAFBFC"/>
            <w:tcMar>
              <w:top w:w="90" w:type="dxa"/>
              <w:start w:w="110" w:type="dxa"/>
              <w:bottom w:w="90" w:type="dxa"/>
              <w:end w:w="110" w:type="dxa"/>
            </w:tcMar>
            <w:vAlign w:val="center"/>
          </w:tcPr>
          <w:p>
            <w:pPr>
              <w:spacing w:after="20" w:line="240" w:lineRule="auto"/>
            </w:pPr>
            <w:r>
              <w:rPr>
                <w:rFonts w:ascii="Aptos" w:hAnsi="Aptos"/>
                <w:color w:val="202A33"/>
                <w:sz w:val="16"/>
              </w:rPr>
              <w:t>Private/vertical AI using governed domain and organization knowledge</w:t>
            </w:r>
          </w:p>
        </w:tc>
      </w:tr>
      <w:tr>
        <w:trPr>
          <w:cantSplit/>
        </w:trPr>
        <w:tc>
          <w:tcPr>
            <w:tcW w:type="dxa" w:w="3000"/>
            <w:tcMar>
              <w:top w:w="90" w:type="dxa"/>
              <w:start w:w="110" w:type="dxa"/>
              <w:bottom w:w="90" w:type="dxa"/>
              <w:end w:w="110" w:type="dxa"/>
            </w:tcMar>
            <w:vAlign w:val="center"/>
          </w:tcPr>
          <w:p>
            <w:pPr>
              <w:spacing w:after="20" w:line="240" w:lineRule="auto"/>
            </w:pPr>
            <w:r>
              <w:rPr>
                <w:rFonts w:ascii="Aptos" w:hAnsi="Aptos"/>
                <w:color w:val="202A33"/>
                <w:sz w:val="16"/>
              </w:rPr>
              <w:t>Company status and snapshots</w:t>
            </w:r>
          </w:p>
        </w:tc>
        <w:tc>
          <w:tcPr>
            <w:tcW w:type="dxa" w:w="3180"/>
            <w:tcMar>
              <w:top w:w="90" w:type="dxa"/>
              <w:start w:w="110" w:type="dxa"/>
              <w:bottom w:w="90" w:type="dxa"/>
              <w:end w:w="110" w:type="dxa"/>
            </w:tcMar>
            <w:vAlign w:val="center"/>
          </w:tcPr>
          <w:p>
            <w:pPr>
              <w:spacing w:after="20" w:line="240" w:lineRule="auto"/>
            </w:pPr>
            <w:r>
              <w:rPr>
                <w:rFonts w:ascii="Aptos" w:hAnsi="Aptos"/>
                <w:color w:val="202A33"/>
                <w:sz w:val="16"/>
              </w:rPr>
              <w:t>Secure data rooms, richer investor workflows, CRM integrations</w:t>
            </w:r>
          </w:p>
        </w:tc>
        <w:tc>
          <w:tcPr>
            <w:tcW w:type="dxa" w:w="3180"/>
            <w:tcMar>
              <w:top w:w="90" w:type="dxa"/>
              <w:start w:w="110" w:type="dxa"/>
              <w:bottom w:w="90" w:type="dxa"/>
              <w:end w:w="110" w:type="dxa"/>
            </w:tcMar>
            <w:vAlign w:val="center"/>
          </w:tcPr>
          <w:p>
            <w:pPr>
              <w:spacing w:after="20" w:line="240" w:lineRule="auto"/>
            </w:pPr>
            <w:r>
              <w:rPr>
                <w:rFonts w:ascii="Aptos" w:hAnsi="Aptos"/>
                <w:color w:val="202A33"/>
                <w:sz w:val="16"/>
              </w:rPr>
              <w:t>Permissioned intelligence across private enterprise datasets</w:t>
            </w:r>
          </w:p>
        </w:tc>
      </w:tr>
      <w:tr>
        <w:trPr>
          <w:cantSplit/>
        </w:trPr>
        <w:tc>
          <w:tcPr>
            <w:tcW w:type="dxa" w:w="3000"/>
            <w:shd w:fill="FAFBFC"/>
            <w:tcMar>
              <w:top w:w="90" w:type="dxa"/>
              <w:start w:w="110" w:type="dxa"/>
              <w:bottom w:w="90" w:type="dxa"/>
              <w:end w:w="110" w:type="dxa"/>
            </w:tcMar>
            <w:vAlign w:val="center"/>
          </w:tcPr>
          <w:p>
            <w:pPr>
              <w:spacing w:after="20" w:line="240" w:lineRule="auto"/>
            </w:pPr>
            <w:r>
              <w:rPr>
                <w:rFonts w:ascii="Aptos" w:hAnsi="Aptos"/>
                <w:color w:val="202A33"/>
                <w:sz w:val="16"/>
              </w:rPr>
              <w:t>AI adapter and context builder</w:t>
            </w:r>
          </w:p>
        </w:tc>
        <w:tc>
          <w:tcPr>
            <w:tcW w:type="dxa" w:w="3180"/>
            <w:shd w:fill="FAFBFC"/>
            <w:tcMar>
              <w:top w:w="90" w:type="dxa"/>
              <w:start w:w="110" w:type="dxa"/>
              <w:bottom w:w="90" w:type="dxa"/>
              <w:end w:w="110" w:type="dxa"/>
            </w:tcMar>
            <w:vAlign w:val="center"/>
          </w:tcPr>
          <w:p>
            <w:pPr>
              <w:spacing w:after="20" w:line="240" w:lineRule="auto"/>
            </w:pPr>
            <w:r>
              <w:rPr>
                <w:rFonts w:ascii="Aptos" w:hAnsi="Aptos"/>
                <w:color w:val="202A33"/>
                <w:sz w:val="16"/>
              </w:rPr>
              <w:t>Multiple models, document retrieval, workflow agents</w:t>
            </w:r>
          </w:p>
        </w:tc>
        <w:tc>
          <w:tcPr>
            <w:tcW w:type="dxa" w:w="3180"/>
            <w:shd w:fill="FAFBFC"/>
            <w:tcMar>
              <w:top w:w="90" w:type="dxa"/>
              <w:start w:w="110" w:type="dxa"/>
              <w:bottom w:w="90" w:type="dxa"/>
              <w:end w:w="110" w:type="dxa"/>
            </w:tcMar>
            <w:vAlign w:val="center"/>
          </w:tcPr>
          <w:p>
            <w:pPr>
              <w:spacing w:after="20" w:line="240" w:lineRule="auto"/>
            </w:pPr>
            <w:r>
              <w:rPr>
                <w:rFonts w:ascii="Aptos" w:hAnsi="Aptos"/>
                <w:color w:val="202A33"/>
                <w:sz w:val="16"/>
              </w:rPr>
              <w:t>Private inference, evaluation suites, model routing and governance</w:t>
            </w:r>
          </w:p>
        </w:tc>
      </w:tr>
      <w:tr>
        <w:trPr>
          <w:cantSplit/>
        </w:trPr>
        <w:tc>
          <w:tcPr>
            <w:tcW w:type="dxa" w:w="3000"/>
            <w:tcMar>
              <w:top w:w="90" w:type="dxa"/>
              <w:start w:w="110" w:type="dxa"/>
              <w:bottom w:w="90" w:type="dxa"/>
              <w:end w:w="110" w:type="dxa"/>
            </w:tcMar>
            <w:vAlign w:val="center"/>
          </w:tcPr>
          <w:p>
            <w:pPr>
              <w:spacing w:after="20" w:line="240" w:lineRule="auto"/>
            </w:pPr>
            <w:r>
              <w:rPr>
                <w:rFonts w:ascii="Aptos" w:hAnsi="Aptos"/>
                <w:color w:val="202A33"/>
                <w:sz w:val="16"/>
              </w:rPr>
              <w:t>News/source adapter</w:t>
            </w:r>
          </w:p>
        </w:tc>
        <w:tc>
          <w:tcPr>
            <w:tcW w:type="dxa" w:w="3180"/>
            <w:tcMar>
              <w:top w:w="90" w:type="dxa"/>
              <w:start w:w="110" w:type="dxa"/>
              <w:bottom w:w="90" w:type="dxa"/>
              <w:end w:w="110" w:type="dxa"/>
            </w:tcMar>
            <w:vAlign w:val="center"/>
          </w:tcPr>
          <w:p>
            <w:pPr>
              <w:spacing w:after="20" w:line="240" w:lineRule="auto"/>
            </w:pPr>
            <w:r>
              <w:rPr>
                <w:rFonts w:ascii="Aptos" w:hAnsi="Aptos"/>
                <w:color w:val="202A33"/>
                <w:sz w:val="16"/>
              </w:rPr>
              <w:t>Automated ingestion, deduplication, personalization</w:t>
            </w:r>
          </w:p>
        </w:tc>
        <w:tc>
          <w:tcPr>
            <w:tcW w:type="dxa" w:w="3180"/>
            <w:tcMar>
              <w:top w:w="90" w:type="dxa"/>
              <w:start w:w="110" w:type="dxa"/>
              <w:bottom w:w="90" w:type="dxa"/>
              <w:end w:w="110" w:type="dxa"/>
            </w:tcMar>
            <w:vAlign w:val="center"/>
          </w:tcPr>
          <w:p>
            <w:pPr>
              <w:spacing w:after="20" w:line="240" w:lineRule="auto"/>
            </w:pPr>
            <w:r>
              <w:rPr>
                <w:rFonts w:ascii="Aptos" w:hAnsi="Aptos"/>
                <w:color w:val="202A33"/>
                <w:sz w:val="16"/>
              </w:rPr>
              <w:t>Proprietary knowledge graph and predictive ecosystem signals</w:t>
            </w:r>
          </w:p>
        </w:tc>
      </w:tr>
      <w:tr>
        <w:trPr>
          <w:cantSplit/>
        </w:trPr>
        <w:tc>
          <w:tcPr>
            <w:tcW w:type="dxa" w:w="3000"/>
            <w:shd w:fill="FAFBFC"/>
            <w:tcMar>
              <w:top w:w="90" w:type="dxa"/>
              <w:start w:w="110" w:type="dxa"/>
              <w:bottom w:w="90" w:type="dxa"/>
              <w:end w:w="110" w:type="dxa"/>
            </w:tcMar>
            <w:vAlign w:val="center"/>
          </w:tcPr>
          <w:p>
            <w:pPr>
              <w:spacing w:after="20" w:line="240" w:lineRule="auto"/>
            </w:pPr>
            <w:r>
              <w:rPr>
                <w:rFonts w:ascii="Aptos" w:hAnsi="Aptos"/>
                <w:color w:val="202A33"/>
                <w:sz w:val="16"/>
              </w:rPr>
              <w:t>Separate management application</w:t>
            </w:r>
          </w:p>
        </w:tc>
        <w:tc>
          <w:tcPr>
            <w:tcW w:type="dxa" w:w="3180"/>
            <w:shd w:fill="FAFBFC"/>
            <w:tcMar>
              <w:top w:w="90" w:type="dxa"/>
              <w:start w:w="110" w:type="dxa"/>
              <w:bottom w:w="90" w:type="dxa"/>
              <w:end w:w="110" w:type="dxa"/>
            </w:tcMar>
            <w:vAlign w:val="center"/>
          </w:tcPr>
          <w:p>
            <w:pPr>
              <w:spacing w:after="20" w:line="240" w:lineRule="auto"/>
            </w:pPr>
            <w:r>
              <w:rPr>
                <w:rFonts w:ascii="Aptos" w:hAnsi="Aptos"/>
                <w:color w:val="202A33"/>
                <w:sz w:val="16"/>
              </w:rPr>
              <w:t>Support tooling, billing ops, advanced analytics</w:t>
            </w:r>
          </w:p>
        </w:tc>
        <w:tc>
          <w:tcPr>
            <w:tcW w:type="dxa" w:w="3180"/>
            <w:shd w:fill="FAFBFC"/>
            <w:tcMar>
              <w:top w:w="90" w:type="dxa"/>
              <w:start w:w="110" w:type="dxa"/>
              <w:bottom w:w="90" w:type="dxa"/>
              <w:end w:w="110" w:type="dxa"/>
            </w:tcMar>
            <w:vAlign w:val="center"/>
          </w:tcPr>
          <w:p>
            <w:pPr>
              <w:spacing w:after="20" w:line="240" w:lineRule="auto"/>
            </w:pPr>
            <w:r>
              <w:rPr>
                <w:rFonts w:ascii="Aptos" w:hAnsi="Aptos"/>
                <w:color w:val="202A33"/>
                <w:sz w:val="16"/>
              </w:rPr>
              <w:t>Enterprise administration, policy orchestration, compliance reporting</w:t>
            </w:r>
          </w:p>
        </w:tc>
      </w:tr>
    </w:tbl>
    <w:p>
      <w:pPr>
        <w:spacing w:after="20"/>
      </w:pPr>
    </w:p>
    <w:p>
      <w:pPr>
        <w:spacing w:after="120"/>
      </w:pPr>
      <w:r>
        <w:rPr>
          <w:rFonts w:ascii="Aptos" w:hAnsi="Aptos"/>
          <w:b w:val="0"/>
          <w:i w:val="0"/>
          <w:color w:val="202A33"/>
          <w:sz w:val="21"/>
        </w:rPr>
        <w:t>Extensibility requirement: Stage 1 modules communicate through stable domain services and typed contracts. Avoid embedding provider-specific logic in UI components, duplicating authorization in clients, or storing snapshot access as an unstructured link-only feature.</w:t>
      </w:r>
    </w:p>
    <w:p>
      <w:pPr>
        <w:pStyle w:val="Heading1"/>
        <w:keepNext/>
      </w:pPr>
      <w:r>
        <w:t>11. Owner decisions still required</w:t>
      </w:r>
    </w:p>
    <w:p>
      <w:pPr>
        <w:spacing w:after="120"/>
      </w:pPr>
      <w:r>
        <w:rPr>
          <w:rFonts w:ascii="Aptos" w:hAnsi="Aptos"/>
          <w:b w:val="0"/>
          <w:i w:val="0"/>
          <w:color w:val="202A33"/>
          <w:sz w:val="21"/>
        </w:rPr>
        <w:t>The supplied owner questionnaire did not contain completed response fields. The following are the content or business decisions that remain necessary; none require Party A to specify low-level interface or engineering design.</w:t>
      </w:r>
    </w:p>
    <w:tbl>
      <w:tblPr>
        <w:tblStyle w:val="TableGrid"/>
        <w:tblW w:type="dxa" w:w="9360"/>
        <w:tblLayout w:type="fixed"/>
        <w:tblLook w:firstColumn="1" w:firstRow="1" w:lastColumn="0" w:lastRow="0" w:noHBand="0" w:noVBand="1" w:val="04A0"/>
        <w:jc w:val="left"/>
        <w:tblInd w:w="0" w:type="dxa"/>
      </w:tblPr>
      <w:tblGrid>
        <w:gridCol w:w="1250"/>
        <w:gridCol w:w="4200"/>
        <w:gridCol w:w="3910"/>
      </w:tblGrid>
      <w:tr>
        <w:trPr>
          <w:tblHeader w:val="true"/>
          <w:cantSplit/>
        </w:trPr>
        <w:tc>
          <w:tcPr>
            <w:tcW w:type="dxa" w:w="1250"/>
            <w:tcMar>
              <w:top w:w="90" w:type="dxa"/>
              <w:start w:w="110" w:type="dxa"/>
              <w:bottom w:w="90" w:type="dxa"/>
              <w:end w:w="110" w:type="dxa"/>
            </w:tcMar>
            <w:vAlign w:val="center"/>
            <w:shd w:fill="17324D"/>
          </w:tcPr>
          <w:p>
            <w:r>
              <w:rPr>
                <w:rFonts w:ascii="Aptos" w:hAnsi="Aptos"/>
                <w:b/>
                <w:color w:val="FFFFFF"/>
                <w:sz w:val="16"/>
              </w:rPr>
              <w:t>Priority</w:t>
            </w:r>
          </w:p>
        </w:tc>
        <w:tc>
          <w:tcPr>
            <w:tcW w:type="dxa" w:w="4200"/>
            <w:tcMar>
              <w:top w:w="90" w:type="dxa"/>
              <w:start w:w="110" w:type="dxa"/>
              <w:bottom w:w="90" w:type="dxa"/>
              <w:end w:w="110" w:type="dxa"/>
            </w:tcMar>
            <w:vAlign w:val="center"/>
            <w:shd w:fill="17324D"/>
          </w:tcPr>
          <w:p>
            <w:r>
              <w:rPr>
                <w:rFonts w:ascii="Aptos" w:hAnsi="Aptos"/>
                <w:b/>
                <w:color w:val="FFFFFF"/>
                <w:sz w:val="16"/>
              </w:rPr>
              <w:t>Business decision</w:t>
            </w:r>
          </w:p>
        </w:tc>
        <w:tc>
          <w:tcPr>
            <w:tcW w:type="dxa" w:w="3910"/>
            <w:tcMar>
              <w:top w:w="90" w:type="dxa"/>
              <w:start w:w="110" w:type="dxa"/>
              <w:bottom w:w="90" w:type="dxa"/>
              <w:end w:w="110" w:type="dxa"/>
            </w:tcMar>
            <w:vAlign w:val="center"/>
            <w:shd w:fill="17324D"/>
          </w:tcPr>
          <w:p>
            <w:r>
              <w:rPr>
                <w:rFonts w:ascii="Aptos" w:hAnsi="Aptos"/>
                <w:b/>
                <w:color w:val="FFFFFF"/>
                <w:sz w:val="16"/>
              </w:rPr>
              <w:t>Why it blocks or changes delivery</w:t>
            </w:r>
          </w:p>
        </w:tc>
      </w:tr>
      <w:tr>
        <w:trPr>
          <w:cantSplit/>
        </w:trPr>
        <w:tc>
          <w:tcPr>
            <w:tcW w:type="dxa" w:w="1250"/>
            <w:tcMar>
              <w:top w:w="90" w:type="dxa"/>
              <w:start w:w="110" w:type="dxa"/>
              <w:bottom w:w="90" w:type="dxa"/>
              <w:end w:w="110" w:type="dxa"/>
            </w:tcMar>
            <w:vAlign w:val="center"/>
          </w:tcPr>
          <w:p>
            <w:pPr>
              <w:spacing w:after="20" w:line="240" w:lineRule="auto"/>
            </w:pPr>
            <w:r>
              <w:rPr>
                <w:rFonts w:ascii="Aptos" w:hAnsi="Aptos"/>
                <w:color w:val="202A33"/>
                <w:sz w:val="16"/>
              </w:rPr>
              <w:t>Launch blocker</w:t>
            </w:r>
          </w:p>
        </w:tc>
        <w:tc>
          <w:tcPr>
            <w:tcW w:type="dxa" w:w="4200"/>
            <w:tcMar>
              <w:top w:w="90" w:type="dxa"/>
              <w:start w:w="110" w:type="dxa"/>
              <w:bottom w:w="90" w:type="dxa"/>
              <w:end w:w="110" w:type="dxa"/>
            </w:tcMar>
            <w:vAlign w:val="center"/>
          </w:tcPr>
          <w:p>
            <w:pPr>
              <w:spacing w:after="20" w:line="240" w:lineRule="auto"/>
            </w:pPr>
            <w:r>
              <w:rPr>
                <w:rFonts w:ascii="Aptos" w:hAnsi="Aptos"/>
                <w:color w:val="202A33"/>
                <w:sz w:val="16"/>
              </w:rPr>
              <w:t>Final public product name, domain, logo/brand assets, and whether a short slogan is desired.</w:t>
            </w:r>
          </w:p>
        </w:tc>
        <w:tc>
          <w:tcPr>
            <w:tcW w:type="dxa" w:w="3910"/>
            <w:tcMar>
              <w:top w:w="90" w:type="dxa"/>
              <w:start w:w="110" w:type="dxa"/>
              <w:bottom w:w="90" w:type="dxa"/>
              <w:end w:w="110" w:type="dxa"/>
            </w:tcMar>
            <w:vAlign w:val="center"/>
          </w:tcPr>
          <w:p>
            <w:pPr>
              <w:spacing w:after="20" w:line="240" w:lineRule="auto"/>
            </w:pPr>
            <w:r>
              <w:rPr>
                <w:rFonts w:ascii="Aptos" w:hAnsi="Aptos"/>
                <w:color w:val="202A33"/>
                <w:sz w:val="16"/>
              </w:rPr>
              <w:t>Required for public copy, email identity, legal pages, and release assets.</w:t>
            </w:r>
          </w:p>
        </w:tc>
      </w:tr>
      <w:tr>
        <w:trPr>
          <w:cantSplit/>
        </w:trPr>
        <w:tc>
          <w:tcPr>
            <w:tcW w:type="dxa" w:w="1250"/>
            <w:shd w:fill="FAFBFC"/>
            <w:tcMar>
              <w:top w:w="90" w:type="dxa"/>
              <w:start w:w="110" w:type="dxa"/>
              <w:bottom w:w="90" w:type="dxa"/>
              <w:end w:w="110" w:type="dxa"/>
            </w:tcMar>
            <w:vAlign w:val="center"/>
          </w:tcPr>
          <w:p>
            <w:pPr>
              <w:spacing w:after="20" w:line="240" w:lineRule="auto"/>
            </w:pPr>
            <w:r>
              <w:rPr>
                <w:rFonts w:ascii="Aptos" w:hAnsi="Aptos"/>
                <w:color w:val="202A33"/>
                <w:sz w:val="16"/>
              </w:rPr>
              <w:t>Launch blocker</w:t>
            </w:r>
          </w:p>
        </w:tc>
        <w:tc>
          <w:tcPr>
            <w:tcW w:type="dxa" w:w="4200"/>
            <w:shd w:fill="FAFBFC"/>
            <w:tcMar>
              <w:top w:w="90" w:type="dxa"/>
              <w:start w:w="110" w:type="dxa"/>
              <w:bottom w:w="90" w:type="dxa"/>
              <w:end w:w="110" w:type="dxa"/>
            </w:tcMar>
            <w:vAlign w:val="center"/>
          </w:tcPr>
          <w:p>
            <w:pPr>
              <w:spacing w:after="20" w:line="240" w:lineRule="auto"/>
            </w:pPr>
            <w:r>
              <w:rPr>
                <w:rFonts w:ascii="Aptos" w:hAnsi="Aptos"/>
                <w:color w:val="202A33"/>
                <w:sz w:val="16"/>
              </w:rPr>
              <w:t>Approved company/profile taxonomy: startup stage, modality/sector, therapeutic area, provider service categories, VC preferences, and geography.</w:t>
            </w:r>
          </w:p>
        </w:tc>
        <w:tc>
          <w:tcPr>
            <w:tcW w:type="dxa" w:w="3910"/>
            <w:shd w:fill="FAFBFC"/>
            <w:tcMar>
              <w:top w:w="90" w:type="dxa"/>
              <w:start w:w="110" w:type="dxa"/>
              <w:bottom w:w="90" w:type="dxa"/>
              <w:end w:w="110" w:type="dxa"/>
            </w:tcMar>
            <w:vAlign w:val="center"/>
          </w:tcPr>
          <w:p>
            <w:pPr>
              <w:spacing w:after="20" w:line="240" w:lineRule="auto"/>
            </w:pPr>
            <w:r>
              <w:rPr>
                <w:rFonts w:ascii="Aptos" w:hAnsi="Aptos"/>
                <w:color w:val="202A33"/>
                <w:sz w:val="16"/>
              </w:rPr>
              <w:t>Drives onboarding fields, directory filters, AI context, and snapshot labels.</w:t>
            </w:r>
          </w:p>
        </w:tc>
      </w:tr>
      <w:tr>
        <w:trPr>
          <w:cantSplit/>
        </w:trPr>
        <w:tc>
          <w:tcPr>
            <w:tcW w:type="dxa" w:w="1250"/>
            <w:tcMar>
              <w:top w:w="90" w:type="dxa"/>
              <w:start w:w="110" w:type="dxa"/>
              <w:bottom w:w="90" w:type="dxa"/>
              <w:end w:w="110" w:type="dxa"/>
            </w:tcMar>
            <w:vAlign w:val="center"/>
          </w:tcPr>
          <w:p>
            <w:pPr>
              <w:spacing w:after="20" w:line="240" w:lineRule="auto"/>
            </w:pPr>
            <w:r>
              <w:rPr>
                <w:rFonts w:ascii="Aptos" w:hAnsi="Aptos"/>
                <w:color w:val="202A33"/>
                <w:sz w:val="16"/>
              </w:rPr>
              <w:t>Launch blocker</w:t>
            </w:r>
          </w:p>
        </w:tc>
        <w:tc>
          <w:tcPr>
            <w:tcW w:type="dxa" w:w="4200"/>
            <w:tcMar>
              <w:top w:w="90" w:type="dxa"/>
              <w:start w:w="110" w:type="dxa"/>
              <w:bottom w:w="90" w:type="dxa"/>
              <w:end w:w="110" w:type="dxa"/>
            </w:tcMar>
            <w:vAlign w:val="center"/>
          </w:tcPr>
          <w:p>
            <w:pPr>
              <w:spacing w:after="20" w:line="240" w:lineRule="auto"/>
            </w:pPr>
            <w:r>
              <w:rPr>
                <w:rFonts w:ascii="Aptos" w:hAnsi="Aptos"/>
                <w:color w:val="202A33"/>
                <w:sz w:val="16"/>
              </w:rPr>
              <w:t>Who may appear publicly in each directory and which profile fields are public, member-only, or private by default.</w:t>
            </w:r>
          </w:p>
        </w:tc>
        <w:tc>
          <w:tcPr>
            <w:tcW w:type="dxa" w:w="3910"/>
            <w:tcMar>
              <w:top w:w="90" w:type="dxa"/>
              <w:start w:w="110" w:type="dxa"/>
              <w:bottom w:w="90" w:type="dxa"/>
              <w:end w:w="110" w:type="dxa"/>
            </w:tcMar>
            <w:vAlign w:val="center"/>
          </w:tcPr>
          <w:p>
            <w:pPr>
              <w:spacing w:after="20" w:line="240" w:lineRule="auto"/>
            </w:pPr>
            <w:r>
              <w:rPr>
                <w:rFonts w:ascii="Aptos" w:hAnsi="Aptos"/>
                <w:color w:val="202A33"/>
                <w:sz w:val="16"/>
              </w:rPr>
              <w:t>Required for consent language and access-control implementation.</w:t>
            </w:r>
          </w:p>
        </w:tc>
      </w:tr>
      <w:tr>
        <w:trPr>
          <w:cantSplit/>
        </w:trPr>
        <w:tc>
          <w:tcPr>
            <w:tcW w:type="dxa" w:w="1250"/>
            <w:shd w:fill="FAFBFC"/>
            <w:tcMar>
              <w:top w:w="90" w:type="dxa"/>
              <w:start w:w="110" w:type="dxa"/>
              <w:bottom w:w="90" w:type="dxa"/>
              <w:end w:w="110" w:type="dxa"/>
            </w:tcMar>
            <w:vAlign w:val="center"/>
          </w:tcPr>
          <w:p>
            <w:pPr>
              <w:spacing w:after="20" w:line="240" w:lineRule="auto"/>
            </w:pPr>
            <w:r>
              <w:rPr>
                <w:rFonts w:ascii="Aptos" w:hAnsi="Aptos"/>
                <w:color w:val="202A33"/>
                <w:sz w:val="16"/>
              </w:rPr>
              <w:t>Launch blocker</w:t>
            </w:r>
          </w:p>
        </w:tc>
        <w:tc>
          <w:tcPr>
            <w:tcW w:type="dxa" w:w="4200"/>
            <w:shd w:fill="FAFBFC"/>
            <w:tcMar>
              <w:top w:w="90" w:type="dxa"/>
              <w:start w:w="110" w:type="dxa"/>
              <w:bottom w:w="90" w:type="dxa"/>
              <w:end w:w="110" w:type="dxa"/>
            </w:tcMar>
            <w:vAlign w:val="center"/>
          </w:tcPr>
          <w:p>
            <w:pPr>
              <w:spacing w:after="20" w:line="240" w:lineRule="auto"/>
            </w:pPr>
            <w:r>
              <w:rPr>
                <w:rFonts w:ascii="Aptos" w:hAnsi="Aptos"/>
                <w:color w:val="202A33"/>
                <w:sz w:val="16"/>
              </w:rPr>
              <w:t>Public anonymous chat policy: number of preview questions, acceptable-use limits, and whether public answers may use live web/news sources.</w:t>
            </w:r>
          </w:p>
        </w:tc>
        <w:tc>
          <w:tcPr>
            <w:tcW w:type="dxa" w:w="3910"/>
            <w:shd w:fill="FAFBFC"/>
            <w:tcMar>
              <w:top w:w="90" w:type="dxa"/>
              <w:start w:w="110" w:type="dxa"/>
              <w:bottom w:w="90" w:type="dxa"/>
              <w:end w:w="110" w:type="dxa"/>
            </w:tcMar>
            <w:vAlign w:val="center"/>
          </w:tcPr>
          <w:p>
            <w:pPr>
              <w:spacing w:after="20" w:line="240" w:lineRule="auto"/>
            </w:pPr>
            <w:r>
              <w:rPr>
                <w:rFonts w:ascii="Aptos" w:hAnsi="Aptos"/>
                <w:color w:val="202A33"/>
                <w:sz w:val="16"/>
              </w:rPr>
              <w:t>Controls cost, risk, disclosure, and homepage behavior.</w:t>
            </w:r>
          </w:p>
        </w:tc>
      </w:tr>
      <w:tr>
        <w:trPr>
          <w:cantSplit/>
        </w:trPr>
        <w:tc>
          <w:tcPr>
            <w:tcW w:type="dxa" w:w="1250"/>
            <w:tcMar>
              <w:top w:w="90" w:type="dxa"/>
              <w:start w:w="110" w:type="dxa"/>
              <w:bottom w:w="90" w:type="dxa"/>
              <w:end w:w="110" w:type="dxa"/>
            </w:tcMar>
            <w:vAlign w:val="center"/>
          </w:tcPr>
          <w:p>
            <w:pPr>
              <w:spacing w:after="20" w:line="240" w:lineRule="auto"/>
            </w:pPr>
            <w:r>
              <w:rPr>
                <w:rFonts w:ascii="Aptos" w:hAnsi="Aptos"/>
                <w:color w:val="202A33"/>
                <w:sz w:val="16"/>
              </w:rPr>
              <w:t>Launch blocker</w:t>
            </w:r>
          </w:p>
        </w:tc>
        <w:tc>
          <w:tcPr>
            <w:tcW w:type="dxa" w:w="4200"/>
            <w:tcMar>
              <w:top w:w="90" w:type="dxa"/>
              <w:start w:w="110" w:type="dxa"/>
              <w:bottom w:w="90" w:type="dxa"/>
              <w:end w:w="110" w:type="dxa"/>
            </w:tcMar>
            <w:vAlign w:val="center"/>
          </w:tcPr>
          <w:p>
            <w:pPr>
              <w:spacing w:after="20" w:line="240" w:lineRule="auto"/>
            </w:pPr>
            <w:r>
              <w:rPr>
                <w:rFonts w:ascii="Aptos" w:hAnsi="Aptos"/>
                <w:color w:val="202A33"/>
                <w:sz w:val="16"/>
              </w:rPr>
              <w:t>VC snapshot policy: registered-VC-only versus optional recipient-specific external link; default expiry; download permission.</w:t>
            </w:r>
          </w:p>
        </w:tc>
        <w:tc>
          <w:tcPr>
            <w:tcW w:type="dxa" w:w="3910"/>
            <w:tcMar>
              <w:top w:w="90" w:type="dxa"/>
              <w:start w:w="110" w:type="dxa"/>
              <w:bottom w:w="90" w:type="dxa"/>
              <w:end w:w="110" w:type="dxa"/>
            </w:tcMar>
            <w:vAlign w:val="center"/>
          </w:tcPr>
          <w:p>
            <w:pPr>
              <w:spacing w:after="20" w:line="240" w:lineRule="auto"/>
            </w:pPr>
            <w:r>
              <w:rPr>
                <w:rFonts w:ascii="Aptos" w:hAnsi="Aptos"/>
                <w:color w:val="202A33"/>
                <w:sz w:val="16"/>
              </w:rPr>
              <w:t>Determines security, email, and recipient flows.</w:t>
            </w:r>
          </w:p>
        </w:tc>
      </w:tr>
      <w:tr>
        <w:trPr>
          <w:cantSplit/>
        </w:trPr>
        <w:tc>
          <w:tcPr>
            <w:tcW w:type="dxa" w:w="1250"/>
            <w:shd w:fill="FAFBFC"/>
            <w:tcMar>
              <w:top w:w="90" w:type="dxa"/>
              <w:start w:w="110" w:type="dxa"/>
              <w:bottom w:w="90" w:type="dxa"/>
              <w:end w:w="110" w:type="dxa"/>
            </w:tcMar>
            <w:vAlign w:val="center"/>
          </w:tcPr>
          <w:p>
            <w:pPr>
              <w:spacing w:after="20" w:line="240" w:lineRule="auto"/>
            </w:pPr>
            <w:r>
              <w:rPr>
                <w:rFonts w:ascii="Aptos" w:hAnsi="Aptos"/>
                <w:color w:val="202A33"/>
                <w:sz w:val="16"/>
              </w:rPr>
              <w:t>Launch blocker</w:t>
            </w:r>
          </w:p>
        </w:tc>
        <w:tc>
          <w:tcPr>
            <w:tcW w:type="dxa" w:w="4200"/>
            <w:shd w:fill="FAFBFC"/>
            <w:tcMar>
              <w:top w:w="90" w:type="dxa"/>
              <w:start w:w="110" w:type="dxa"/>
              <w:bottom w:w="90" w:type="dxa"/>
              <w:end w:w="110" w:type="dxa"/>
            </w:tcMar>
            <w:vAlign w:val="center"/>
          </w:tcPr>
          <w:p>
            <w:pPr>
              <w:spacing w:after="20" w:line="240" w:lineRule="auto"/>
            </w:pPr>
            <w:r>
              <w:rPr>
                <w:rFonts w:ascii="Aptos" w:hAnsi="Aptos"/>
                <w:color w:val="202A33"/>
                <w:sz w:val="16"/>
              </w:rPr>
              <w:t>Approved news sources or feed/API provider, and who owns editorial review.</w:t>
            </w:r>
          </w:p>
        </w:tc>
        <w:tc>
          <w:tcPr>
            <w:tcW w:type="dxa" w:w="3910"/>
            <w:shd w:fill="FAFBFC"/>
            <w:tcMar>
              <w:top w:w="90" w:type="dxa"/>
              <w:start w:w="110" w:type="dxa"/>
              <w:bottom w:w="90" w:type="dxa"/>
              <w:end w:w="110" w:type="dxa"/>
            </w:tcMar>
            <w:vAlign w:val="center"/>
          </w:tcPr>
          <w:p>
            <w:pPr>
              <w:spacing w:after="20" w:line="240" w:lineRule="auto"/>
            </w:pPr>
            <w:r>
              <w:rPr>
                <w:rFonts w:ascii="Aptos" w:hAnsi="Aptos"/>
                <w:color w:val="202A33"/>
                <w:sz w:val="16"/>
              </w:rPr>
              <w:t>Required to populate and legally attribute the public feed.</w:t>
            </w:r>
          </w:p>
        </w:tc>
      </w:tr>
      <w:tr>
        <w:trPr>
          <w:cantSplit/>
        </w:trPr>
        <w:tc>
          <w:tcPr>
            <w:tcW w:type="dxa" w:w="1250"/>
            <w:tcMar>
              <w:top w:w="90" w:type="dxa"/>
              <w:start w:w="110" w:type="dxa"/>
              <w:bottom w:w="90" w:type="dxa"/>
              <w:end w:w="110" w:type="dxa"/>
            </w:tcMar>
            <w:vAlign w:val="center"/>
          </w:tcPr>
          <w:p>
            <w:pPr>
              <w:spacing w:after="20" w:line="240" w:lineRule="auto"/>
            </w:pPr>
            <w:r>
              <w:rPr>
                <w:rFonts w:ascii="Aptos" w:hAnsi="Aptos"/>
                <w:color w:val="202A33"/>
                <w:sz w:val="16"/>
              </w:rPr>
              <w:t>Launch blocker</w:t>
            </w:r>
          </w:p>
        </w:tc>
        <w:tc>
          <w:tcPr>
            <w:tcW w:type="dxa" w:w="4200"/>
            <w:tcMar>
              <w:top w:w="90" w:type="dxa"/>
              <w:start w:w="110" w:type="dxa"/>
              <w:bottom w:w="90" w:type="dxa"/>
              <w:end w:w="110" w:type="dxa"/>
            </w:tcMar>
            <w:vAlign w:val="center"/>
          </w:tcPr>
          <w:p>
            <w:pPr>
              <w:spacing w:after="20" w:line="240" w:lineRule="auto"/>
            </w:pPr>
            <w:r>
              <w:rPr>
                <w:rFonts w:ascii="Aptos" w:hAnsi="Aptos"/>
                <w:color w:val="202A33"/>
                <w:sz w:val="16"/>
              </w:rPr>
              <w:t>Management users, MFA/identity policy, incident contact, and monthly third-party budget thresholds.</w:t>
            </w:r>
          </w:p>
        </w:tc>
        <w:tc>
          <w:tcPr>
            <w:tcW w:type="dxa" w:w="3910"/>
            <w:tcMar>
              <w:top w:w="90" w:type="dxa"/>
              <w:start w:w="110" w:type="dxa"/>
              <w:bottom w:w="90" w:type="dxa"/>
              <w:end w:w="110" w:type="dxa"/>
            </w:tcMar>
            <w:vAlign w:val="center"/>
          </w:tcPr>
          <w:p>
            <w:pPr>
              <w:spacing w:after="20" w:line="240" w:lineRule="auto"/>
            </w:pPr>
            <w:r>
              <w:rPr>
                <w:rFonts w:ascii="Aptos" w:hAnsi="Aptos"/>
                <w:color w:val="202A33"/>
                <w:sz w:val="16"/>
              </w:rPr>
              <w:t>Required before the admin application and alerts can be accepted.</w:t>
            </w:r>
          </w:p>
        </w:tc>
      </w:tr>
      <w:tr>
        <w:trPr>
          <w:cantSplit/>
        </w:trPr>
        <w:tc>
          <w:tcPr>
            <w:tcW w:type="dxa" w:w="1250"/>
            <w:shd w:fill="FAFBFC"/>
            <w:tcMar>
              <w:top w:w="90" w:type="dxa"/>
              <w:start w:w="110" w:type="dxa"/>
              <w:bottom w:w="90" w:type="dxa"/>
              <w:end w:w="110" w:type="dxa"/>
            </w:tcMar>
            <w:vAlign w:val="center"/>
          </w:tcPr>
          <w:p>
            <w:pPr>
              <w:spacing w:after="20" w:line="240" w:lineRule="auto"/>
            </w:pPr>
            <w:r>
              <w:rPr>
                <w:rFonts w:ascii="Aptos" w:hAnsi="Aptos"/>
                <w:color w:val="202A33"/>
                <w:sz w:val="16"/>
              </w:rPr>
              <w:t>Content decision</w:t>
            </w:r>
          </w:p>
        </w:tc>
        <w:tc>
          <w:tcPr>
            <w:tcW w:type="dxa" w:w="4200"/>
            <w:shd w:fill="FAFBFC"/>
            <w:tcMar>
              <w:top w:w="90" w:type="dxa"/>
              <w:start w:w="110" w:type="dxa"/>
              <w:bottom w:w="90" w:type="dxa"/>
              <w:end w:w="110" w:type="dxa"/>
            </w:tcMar>
            <w:vAlign w:val="center"/>
          </w:tcPr>
          <w:p>
            <w:pPr>
              <w:spacing w:after="20" w:line="240" w:lineRule="auto"/>
            </w:pPr>
            <w:r>
              <w:rPr>
                <w:rFonts w:ascii="Aptos" w:hAnsi="Aptos"/>
                <w:color w:val="202A33"/>
                <w:sz w:val="16"/>
              </w:rPr>
              <w:t>Priority chatbot topics and examples for each of the three member types.</w:t>
            </w:r>
          </w:p>
        </w:tc>
        <w:tc>
          <w:tcPr>
            <w:tcW w:type="dxa" w:w="3910"/>
            <w:shd w:fill="FAFBFC"/>
            <w:tcMar>
              <w:top w:w="90" w:type="dxa"/>
              <w:start w:w="110" w:type="dxa"/>
              <w:bottom w:w="90" w:type="dxa"/>
              <w:end w:w="110" w:type="dxa"/>
            </w:tcMar>
            <w:vAlign w:val="center"/>
          </w:tcPr>
          <w:p>
            <w:pPr>
              <w:spacing w:after="20" w:line="240" w:lineRule="auto"/>
            </w:pPr>
            <w:r>
              <w:rPr>
                <w:rFonts w:ascii="Aptos" w:hAnsi="Aptos"/>
                <w:color w:val="202A33"/>
                <w:sz w:val="16"/>
              </w:rPr>
              <w:t>Affects onboarding quality but can begin from a provisional catalog.</w:t>
            </w:r>
          </w:p>
        </w:tc>
      </w:tr>
      <w:tr>
        <w:trPr>
          <w:cantSplit/>
        </w:trPr>
        <w:tc>
          <w:tcPr>
            <w:tcW w:type="dxa" w:w="1250"/>
            <w:tcMar>
              <w:top w:w="90" w:type="dxa"/>
              <w:start w:w="110" w:type="dxa"/>
              <w:bottom w:w="90" w:type="dxa"/>
              <w:end w:w="110" w:type="dxa"/>
            </w:tcMar>
            <w:vAlign w:val="center"/>
          </w:tcPr>
          <w:p>
            <w:pPr>
              <w:spacing w:after="20" w:line="240" w:lineRule="auto"/>
            </w:pPr>
            <w:r>
              <w:rPr>
                <w:rFonts w:ascii="Aptos" w:hAnsi="Aptos"/>
                <w:color w:val="202A33"/>
                <w:sz w:val="16"/>
              </w:rPr>
              <w:t>Content decision</w:t>
            </w:r>
          </w:p>
        </w:tc>
        <w:tc>
          <w:tcPr>
            <w:tcW w:type="dxa" w:w="4200"/>
            <w:tcMar>
              <w:top w:w="90" w:type="dxa"/>
              <w:start w:w="110" w:type="dxa"/>
              <w:bottom w:w="90" w:type="dxa"/>
              <w:end w:w="110" w:type="dxa"/>
            </w:tcMar>
            <w:vAlign w:val="center"/>
          </w:tcPr>
          <w:p>
            <w:pPr>
              <w:spacing w:after="20" w:line="240" w:lineRule="auto"/>
            </w:pPr>
            <w:r>
              <w:rPr>
                <w:rFonts w:ascii="Aptos" w:hAnsi="Aptos"/>
                <w:color w:val="202A33"/>
                <w:sz w:val="16"/>
              </w:rPr>
              <w:t>Initial communities and seed directory records, including owner and contact information.</w:t>
            </w:r>
          </w:p>
        </w:tc>
        <w:tc>
          <w:tcPr>
            <w:tcW w:type="dxa" w:w="3910"/>
            <w:tcMar>
              <w:top w:w="90" w:type="dxa"/>
              <w:start w:w="110" w:type="dxa"/>
              <w:bottom w:w="90" w:type="dxa"/>
              <w:end w:w="110" w:type="dxa"/>
            </w:tcMar>
            <w:vAlign w:val="center"/>
          </w:tcPr>
          <w:p>
            <w:pPr>
              <w:spacing w:after="20" w:line="240" w:lineRule="auto"/>
            </w:pPr>
            <w:r>
              <w:rPr>
                <w:rFonts w:ascii="Aptos" w:hAnsi="Aptos"/>
                <w:color w:val="202A33"/>
                <w:sz w:val="16"/>
              </w:rPr>
              <w:t>Needed for a credible public launch; does not block core engineering.</w:t>
            </w:r>
          </w:p>
        </w:tc>
      </w:tr>
      <w:tr>
        <w:trPr>
          <w:cantSplit/>
        </w:trPr>
        <w:tc>
          <w:tcPr>
            <w:tcW w:type="dxa" w:w="1250"/>
            <w:shd w:fill="FAFBFC"/>
            <w:tcMar>
              <w:top w:w="90" w:type="dxa"/>
              <w:start w:w="110" w:type="dxa"/>
              <w:bottom w:w="90" w:type="dxa"/>
              <w:end w:w="110" w:type="dxa"/>
            </w:tcMar>
            <w:vAlign w:val="center"/>
          </w:tcPr>
          <w:p>
            <w:pPr>
              <w:spacing w:after="20" w:line="240" w:lineRule="auto"/>
            </w:pPr>
            <w:r>
              <w:rPr>
                <w:rFonts w:ascii="Aptos" w:hAnsi="Aptos"/>
                <w:color w:val="202A33"/>
                <w:sz w:val="16"/>
              </w:rPr>
              <w:t>Commercial decision</w:t>
            </w:r>
          </w:p>
        </w:tc>
        <w:tc>
          <w:tcPr>
            <w:tcW w:type="dxa" w:w="4200"/>
            <w:shd w:fill="FAFBFC"/>
            <w:tcMar>
              <w:top w:w="90" w:type="dxa"/>
              <w:start w:w="110" w:type="dxa"/>
              <w:bottom w:w="90" w:type="dxa"/>
              <w:end w:w="110" w:type="dxa"/>
            </w:tcMar>
            <w:vAlign w:val="center"/>
          </w:tcPr>
          <w:p>
            <w:pPr>
              <w:spacing w:after="20" w:line="240" w:lineRule="auto"/>
            </w:pPr>
            <w:r>
              <w:rPr>
                <w:rFonts w:ascii="Aptos" w:hAnsi="Aptos"/>
                <w:color w:val="202A33"/>
                <w:sz w:val="16"/>
              </w:rPr>
              <w:t>Confirm revised scope, schedule, and budget for Provider/VC accounts, snapshots, and cost center.</w:t>
            </w:r>
          </w:p>
        </w:tc>
        <w:tc>
          <w:tcPr>
            <w:tcW w:type="dxa" w:w="3910"/>
            <w:shd w:fill="FAFBFC"/>
            <w:tcMar>
              <w:top w:w="90" w:type="dxa"/>
              <w:start w:w="110" w:type="dxa"/>
              <w:bottom w:w="90" w:type="dxa"/>
              <w:end w:w="110" w:type="dxa"/>
            </w:tcMar>
            <w:vAlign w:val="center"/>
          </w:tcPr>
          <w:p>
            <w:pPr>
              <w:spacing w:after="20" w:line="240" w:lineRule="auto"/>
            </w:pPr>
            <w:r>
              <w:rPr>
                <w:rFonts w:ascii="Aptos" w:hAnsi="Aptos"/>
                <w:color w:val="202A33"/>
                <w:sz w:val="16"/>
              </w:rPr>
              <w:t>These additions exceed the original founder-centered concise SOW.</w:t>
            </w:r>
          </w:p>
        </w:tc>
      </w:tr>
    </w:tbl>
    <w:p>
      <w:pPr>
        <w:spacing w:after="20"/>
      </w:pPr>
    </w:p>
    <w:p>
      <w:pPr>
        <w:pStyle w:val="Heading1"/>
        <w:keepNext/>
      </w:pPr>
      <w:r>
        <w:t>Appendix A. Review-comment resolution log</w:t>
      </w:r>
    </w:p>
    <w:tbl>
      <w:tblPr>
        <w:tblStyle w:val="TableGrid"/>
        <w:tblW w:type="dxa" w:w="9360"/>
        <w:tblLayout w:type="fixed"/>
        <w:tblLook w:firstColumn="1" w:firstRow="1" w:lastColumn="0" w:lastRow="0" w:noHBand="0" w:noVBand="1" w:val="04A0"/>
        <w:jc w:val="left"/>
        <w:tblInd w:w="0" w:type="dxa"/>
      </w:tblPr>
      <w:tblGrid>
        <w:gridCol w:w="3300"/>
        <w:gridCol w:w="6060"/>
      </w:tblGrid>
      <w:tr>
        <w:trPr>
          <w:tblHeader w:val="true"/>
          <w:cantSplit/>
        </w:trPr>
        <w:tc>
          <w:tcPr>
            <w:tcW w:type="dxa" w:w="3300"/>
            <w:tcMar>
              <w:top w:w="90" w:type="dxa"/>
              <w:start w:w="110" w:type="dxa"/>
              <w:bottom w:w="90" w:type="dxa"/>
              <w:end w:w="110" w:type="dxa"/>
            </w:tcMar>
            <w:vAlign w:val="center"/>
            <w:shd w:fill="17324D"/>
          </w:tcPr>
          <w:p>
            <w:r>
              <w:rPr>
                <w:rFonts w:ascii="Aptos" w:hAnsi="Aptos"/>
                <w:b/>
                <w:color w:val="FFFFFF"/>
                <w:sz w:val="16"/>
              </w:rPr>
              <w:t>Reviewer direction</w:t>
            </w:r>
          </w:p>
        </w:tc>
        <w:tc>
          <w:tcPr>
            <w:tcW w:type="dxa" w:w="6060"/>
            <w:tcMar>
              <w:top w:w="90" w:type="dxa"/>
              <w:start w:w="110" w:type="dxa"/>
              <w:bottom w:w="90" w:type="dxa"/>
              <w:end w:w="110" w:type="dxa"/>
            </w:tcMar>
            <w:vAlign w:val="center"/>
            <w:shd w:fill="17324D"/>
          </w:tcPr>
          <w:p>
            <w:r>
              <w:rPr>
                <w:rFonts w:ascii="Aptos" w:hAnsi="Aptos"/>
                <w:b/>
                <w:color w:val="FFFFFF"/>
                <w:sz w:val="16"/>
              </w:rPr>
              <w:t>Resolution in Version 1.1</w:t>
            </w:r>
          </w:p>
        </w:tc>
      </w:tr>
      <w:tr>
        <w:trPr>
          <w:cantSplit/>
        </w:trPr>
        <w:tc>
          <w:tcPr>
            <w:tcW w:type="dxa" w:w="3300"/>
            <w:tcMar>
              <w:top w:w="90" w:type="dxa"/>
              <w:start w:w="110" w:type="dxa"/>
              <w:bottom w:w="90" w:type="dxa"/>
              <w:end w:w="110" w:type="dxa"/>
            </w:tcMar>
            <w:vAlign w:val="center"/>
          </w:tcPr>
          <w:p>
            <w:pPr>
              <w:spacing w:after="20" w:line="240" w:lineRule="auto"/>
            </w:pPr>
            <w:r>
              <w:rPr>
                <w:rFonts w:ascii="Aptos" w:hAnsi="Aptos"/>
                <w:color w:val="202A33"/>
                <w:sz w:val="16"/>
              </w:rPr>
              <w:t>Public root should be Gemini-like chat plus news.</w:t>
            </w:r>
          </w:p>
        </w:tc>
        <w:tc>
          <w:tcPr>
            <w:tcW w:type="dxa" w:w="6060"/>
            <w:tcMar>
              <w:top w:w="90" w:type="dxa"/>
              <w:start w:w="110" w:type="dxa"/>
              <w:bottom w:w="90" w:type="dxa"/>
              <w:end w:w="110" w:type="dxa"/>
            </w:tcMar>
            <w:vAlign w:val="center"/>
          </w:tcPr>
          <w:p>
            <w:pPr>
              <w:spacing w:after="20" w:line="240" w:lineRule="auto"/>
            </w:pPr>
            <w:r>
              <w:rPr>
                <w:rFonts w:ascii="Aptos" w:hAnsi="Aptos"/>
                <w:color w:val="202A33"/>
                <w:sz w:val="16"/>
              </w:rPr>
              <w:t>Public home hierarchy changed so the conversational composer and news are the primary above-the-fold experience.</w:t>
            </w:r>
          </w:p>
        </w:tc>
      </w:tr>
      <w:tr>
        <w:trPr>
          <w:cantSplit/>
        </w:trPr>
        <w:tc>
          <w:tcPr>
            <w:tcW w:type="dxa" w:w="3300"/>
            <w:shd w:fill="FAFBFC"/>
            <w:tcMar>
              <w:top w:w="90" w:type="dxa"/>
              <w:start w:w="110" w:type="dxa"/>
              <w:bottom w:w="90" w:type="dxa"/>
              <w:end w:w="110" w:type="dxa"/>
            </w:tcMar>
            <w:vAlign w:val="center"/>
          </w:tcPr>
          <w:p>
            <w:pPr>
              <w:spacing w:after="20" w:line="240" w:lineRule="auto"/>
            </w:pPr>
            <w:r>
              <w:rPr>
                <w:rFonts w:ascii="Aptos" w:hAnsi="Aptos"/>
                <w:color w:val="202A33"/>
                <w:sz w:val="16"/>
              </w:rPr>
              <w:t>Find a place for platform introduction.</w:t>
            </w:r>
          </w:p>
        </w:tc>
        <w:tc>
          <w:tcPr>
            <w:tcW w:type="dxa" w:w="6060"/>
            <w:shd w:fill="FAFBFC"/>
            <w:tcMar>
              <w:top w:w="90" w:type="dxa"/>
              <w:start w:w="110" w:type="dxa"/>
              <w:bottom w:w="90" w:type="dxa"/>
              <w:end w:w="110" w:type="dxa"/>
            </w:tcMar>
            <w:vAlign w:val="center"/>
          </w:tcPr>
          <w:p>
            <w:pPr>
              <w:spacing w:after="20" w:line="240" w:lineRule="auto"/>
            </w:pPr>
            <w:r>
              <w:rPr>
                <w:rFonts w:ascii="Aptos" w:hAnsi="Aptos"/>
                <w:color w:val="202A33"/>
                <w:sz w:val="16"/>
              </w:rPr>
              <w:t>Concise promise remains above the fold; full explanation, role benefits, trust, and FAQ move below chat/news.</w:t>
            </w:r>
          </w:p>
        </w:tc>
      </w:tr>
      <w:tr>
        <w:trPr>
          <w:cantSplit/>
        </w:trPr>
        <w:tc>
          <w:tcPr>
            <w:tcW w:type="dxa" w:w="3300"/>
            <w:tcMar>
              <w:top w:w="90" w:type="dxa"/>
              <w:start w:w="110" w:type="dxa"/>
              <w:bottom w:w="90" w:type="dxa"/>
              <w:end w:w="110" w:type="dxa"/>
            </w:tcMar>
            <w:vAlign w:val="center"/>
          </w:tcPr>
          <w:p>
            <w:pPr>
              <w:spacing w:after="20" w:line="240" w:lineRule="auto"/>
            </w:pPr>
            <w:r>
              <w:rPr>
                <w:rFonts w:ascii="Aptos" w:hAnsi="Aptos"/>
                <w:color w:val="202A33"/>
                <w:sz w:val="16"/>
              </w:rPr>
              <w:t>Consider VC viewer/link.</w:t>
            </w:r>
          </w:p>
        </w:tc>
        <w:tc>
          <w:tcPr>
            <w:tcW w:type="dxa" w:w="6060"/>
            <w:tcMar>
              <w:top w:w="90" w:type="dxa"/>
              <w:start w:w="110" w:type="dxa"/>
              <w:bottom w:w="90" w:type="dxa"/>
              <w:end w:w="110" w:type="dxa"/>
            </w:tcMar>
            <w:vAlign w:val="center"/>
          </w:tcPr>
          <w:p>
            <w:pPr>
              <w:spacing w:after="20" w:line="240" w:lineRule="auto"/>
            </w:pPr>
            <w:r>
              <w:rPr>
                <w:rFonts w:ascii="Aptos" w:hAnsi="Aptos"/>
                <w:color w:val="202A33"/>
                <w:sz w:val="16"/>
              </w:rPr>
              <w:t>Superseded by the newer requirement for VC accounts. VC accounts receive no blanket access; controlled snapshots support deliberate sharing.</w:t>
            </w:r>
          </w:p>
        </w:tc>
      </w:tr>
      <w:tr>
        <w:trPr>
          <w:cantSplit/>
        </w:trPr>
        <w:tc>
          <w:tcPr>
            <w:tcW w:type="dxa" w:w="3300"/>
            <w:shd w:fill="FAFBFC"/>
            <w:tcMar>
              <w:top w:w="90" w:type="dxa"/>
              <w:start w:w="110" w:type="dxa"/>
              <w:bottom w:w="90" w:type="dxa"/>
              <w:end w:w="110" w:type="dxa"/>
            </w:tcMar>
            <w:vAlign w:val="center"/>
          </w:tcPr>
          <w:p>
            <w:pPr>
              <w:spacing w:after="20" w:line="240" w:lineRule="auto"/>
            </w:pPr>
            <w:r>
              <w:rPr>
                <w:rFonts w:ascii="Aptos" w:hAnsi="Aptos"/>
                <w:color w:val="202A33"/>
                <w:sz w:val="16"/>
              </w:rPr>
              <w:t>Export startup information as a temporary VC page/card.</w:t>
            </w:r>
          </w:p>
        </w:tc>
        <w:tc>
          <w:tcPr>
            <w:tcW w:type="dxa" w:w="6060"/>
            <w:shd w:fill="FAFBFC"/>
            <w:tcMar>
              <w:top w:w="90" w:type="dxa"/>
              <w:start w:w="110" w:type="dxa"/>
              <w:bottom w:w="90" w:type="dxa"/>
              <w:end w:w="110" w:type="dxa"/>
            </w:tcMar>
            <w:vAlign w:val="center"/>
          </w:tcPr>
          <w:p>
            <w:pPr>
              <w:spacing w:after="20" w:line="240" w:lineRule="auto"/>
            </w:pPr>
            <w:r>
              <w:rPr>
                <w:rFonts w:ascii="Aptos" w:hAnsi="Aptos"/>
                <w:color w:val="202A33"/>
                <w:sz w:val="16"/>
              </w:rPr>
              <w:t>Added M7: versioned, selected-field, expiring, revocable company snapshot with view logging and optional print/PDF.</w:t>
            </w:r>
          </w:p>
        </w:tc>
      </w:tr>
      <w:tr>
        <w:trPr>
          <w:cantSplit/>
        </w:trPr>
        <w:tc>
          <w:tcPr>
            <w:tcW w:type="dxa" w:w="3300"/>
            <w:tcMar>
              <w:top w:w="90" w:type="dxa"/>
              <w:start w:w="110" w:type="dxa"/>
              <w:bottom w:w="90" w:type="dxa"/>
              <w:end w:w="110" w:type="dxa"/>
            </w:tcMar>
            <w:vAlign w:val="center"/>
          </w:tcPr>
          <w:p>
            <w:pPr>
              <w:spacing w:after="20" w:line="240" w:lineRule="auto"/>
            </w:pPr>
            <w:r>
              <w:rPr>
                <w:rFonts w:ascii="Aptos" w:hAnsi="Aptos"/>
                <w:color w:val="202A33"/>
                <w:sz w:val="16"/>
              </w:rPr>
              <w:t>Add usage monitoring and third-party billing center.</w:t>
            </w:r>
          </w:p>
        </w:tc>
        <w:tc>
          <w:tcPr>
            <w:tcW w:type="dxa" w:w="6060"/>
            <w:tcMar>
              <w:top w:w="90" w:type="dxa"/>
              <w:start w:w="110" w:type="dxa"/>
              <w:bottom w:w="90" w:type="dxa"/>
              <w:end w:w="110" w:type="dxa"/>
            </w:tcMar>
            <w:vAlign w:val="center"/>
          </w:tcPr>
          <w:p>
            <w:pPr>
              <w:spacing w:after="20" w:line="240" w:lineRule="auto"/>
            </w:pPr>
            <w:r>
              <w:rPr>
                <w:rFonts w:ascii="Aptos" w:hAnsi="Aptos"/>
                <w:color w:val="202A33"/>
                <w:sz w:val="16"/>
              </w:rPr>
              <w:t>Added management usage dashboard and vendor cost center; clarified that member subscription billing is Stage 2.</w:t>
            </w:r>
          </w:p>
        </w:tc>
      </w:tr>
      <w:tr>
        <w:trPr>
          <w:cantSplit/>
        </w:trPr>
        <w:tc>
          <w:tcPr>
            <w:tcW w:type="dxa" w:w="3300"/>
            <w:shd w:fill="FAFBFC"/>
            <w:tcMar>
              <w:top w:w="90" w:type="dxa"/>
              <w:start w:w="110" w:type="dxa"/>
              <w:bottom w:w="90" w:type="dxa"/>
              <w:end w:w="110" w:type="dxa"/>
            </w:tcMar>
            <w:vAlign w:val="center"/>
          </w:tcPr>
          <w:p>
            <w:pPr>
              <w:spacing w:after="20" w:line="240" w:lineRule="auto"/>
            </w:pPr>
            <w:r>
              <w:rPr>
                <w:rFonts w:ascii="Aptos" w:hAnsi="Aptos"/>
                <w:color w:val="202A33"/>
                <w:sz w:val="16"/>
              </w:rPr>
              <w:t>Chat should use company info and status as context.</w:t>
            </w:r>
          </w:p>
        </w:tc>
        <w:tc>
          <w:tcPr>
            <w:tcW w:type="dxa" w:w="6060"/>
            <w:shd w:fill="FAFBFC"/>
            <w:tcMar>
              <w:top w:w="90" w:type="dxa"/>
              <w:start w:w="110" w:type="dxa"/>
              <w:bottom w:w="90" w:type="dxa"/>
              <w:end w:w="110" w:type="dxa"/>
            </w:tcMar>
            <w:vAlign w:val="center"/>
          </w:tcPr>
          <w:p>
            <w:pPr>
              <w:spacing w:after="20" w:line="240" w:lineRule="auto"/>
            </w:pPr>
            <w:r>
              <w:rPr>
                <w:rFonts w:ascii="Aptos" w:hAnsi="Aptos"/>
                <w:color w:val="202A33"/>
                <w:sz w:val="16"/>
              </w:rPr>
              <w:t>Founder company/profile status is approved structured context with explicit disclosure and per-conversation exclusion.</w:t>
            </w:r>
          </w:p>
        </w:tc>
      </w:tr>
      <w:tr>
        <w:trPr>
          <w:cantSplit/>
        </w:trPr>
        <w:tc>
          <w:tcPr>
            <w:tcW w:type="dxa" w:w="3300"/>
            <w:tcMar>
              <w:top w:w="90" w:type="dxa"/>
              <w:start w:w="110" w:type="dxa"/>
              <w:bottom w:w="90" w:type="dxa"/>
              <w:end w:w="110" w:type="dxa"/>
            </w:tcMar>
            <w:vAlign w:val="center"/>
          </w:tcPr>
          <w:p>
            <w:pPr>
              <w:spacing w:after="20" w:line="240" w:lineRule="auto"/>
            </w:pPr>
            <w:r>
              <w:rPr>
                <w:rFonts w:ascii="Aptos" w:hAnsi="Aptos"/>
                <w:color w:val="202A33"/>
                <w:sz w:val="16"/>
              </w:rPr>
              <w:t>Supabase or AWS—pros and cons.</w:t>
            </w:r>
          </w:p>
        </w:tc>
        <w:tc>
          <w:tcPr>
            <w:tcW w:type="dxa" w:w="6060"/>
            <w:tcMar>
              <w:top w:w="90" w:type="dxa"/>
              <w:start w:w="110" w:type="dxa"/>
              <w:bottom w:w="90" w:type="dxa"/>
              <w:end w:w="110" w:type="dxa"/>
            </w:tcMar>
            <w:vAlign w:val="center"/>
          </w:tcPr>
          <w:p>
            <w:pPr>
              <w:spacing w:after="20" w:line="240" w:lineRule="auto"/>
            </w:pPr>
            <w:r>
              <w:rPr>
                <w:rFonts w:ascii="Aptos" w:hAnsi="Aptos"/>
                <w:color w:val="202A33"/>
                <w:sz w:val="16"/>
              </w:rPr>
              <w:t>Added comparative decision table and recommendation to use Vercel/Supabase for Stage 1 with portability and migration triggers.</w:t>
            </w:r>
          </w:p>
        </w:tc>
      </w:tr>
      <w:tr>
        <w:trPr>
          <w:cantSplit/>
        </w:trPr>
        <w:tc>
          <w:tcPr>
            <w:tcW w:type="dxa" w:w="3300"/>
            <w:shd w:fill="FAFBFC"/>
            <w:tcMar>
              <w:top w:w="90" w:type="dxa"/>
              <w:start w:w="110" w:type="dxa"/>
              <w:bottom w:w="90" w:type="dxa"/>
              <w:end w:w="110" w:type="dxa"/>
            </w:tcMar>
            <w:vAlign w:val="center"/>
          </w:tcPr>
          <w:p>
            <w:pPr>
              <w:spacing w:after="20" w:line="240" w:lineRule="auto"/>
            </w:pPr>
            <w:r>
              <w:rPr>
                <w:rFonts w:ascii="Aptos" w:hAnsi="Aptos"/>
                <w:color w:val="202A33"/>
                <w:sz w:val="16"/>
              </w:rPr>
              <w:t>Three user types; management separate.</w:t>
            </w:r>
          </w:p>
        </w:tc>
        <w:tc>
          <w:tcPr>
            <w:tcW w:type="dxa" w:w="6060"/>
            <w:shd w:fill="FAFBFC"/>
            <w:tcMar>
              <w:top w:w="90" w:type="dxa"/>
              <w:start w:w="110" w:type="dxa"/>
              <w:bottom w:w="90" w:type="dxa"/>
              <w:end w:w="110" w:type="dxa"/>
            </w:tcMar>
            <w:vAlign w:val="center"/>
          </w:tcPr>
          <w:p>
            <w:pPr>
              <w:spacing w:after="20" w:line="240" w:lineRule="auto"/>
            </w:pPr>
            <w:r>
              <w:rPr>
                <w:rFonts w:ascii="Aptos" w:hAnsi="Aptos"/>
                <w:color w:val="202A33"/>
                <w:sz w:val="16"/>
              </w:rPr>
              <w:t>Founder, Service Provider, and VC are first-class members; management is a separately deployed application.</w:t>
            </w:r>
          </w:p>
        </w:tc>
      </w:tr>
    </w:tbl>
    <w:p>
      <w:pPr>
        <w:spacing w:after="20"/>
      </w:pPr>
    </w:p>
    <w:p>
      <w:r>
        <w:br w:type="page"/>
      </w:r>
    </w:p>
    <w:p>
      <w:pPr>
        <w:pStyle w:val="Heading1"/>
        <w:keepNext/>
      </w:pPr>
      <w:r>
        <w:t>Appendix B. Definition of done</w:t>
      </w:r>
    </w:p>
    <w:p>
      <w:pPr>
        <w:pStyle w:val="ListBullet"/>
      </w:pPr>
      <w:r>
        <w:t>Approved business decisions in Section 11 are recorded in the product backlog or change log.</w:t>
      </w:r>
    </w:p>
    <w:p>
      <w:pPr>
        <w:pStyle w:val="ListBullet"/>
      </w:pPr>
      <w:r>
        <w:t>Designs cover desktop and mobile, all three member dashboards, management, snapshot states, and empty/error/permission states.</w:t>
      </w:r>
    </w:p>
    <w:p>
      <w:pPr>
        <w:pStyle w:val="ListBullet"/>
      </w:pPr>
      <w:r>
        <w:t>Implementation, authorization tests, accessibility checks, analytics, runbooks, and owner acceptance are complete.</w:t>
      </w:r>
    </w:p>
    <w:p>
      <w:pPr>
        <w:pStyle w:val="ListBullet"/>
      </w:pPr>
      <w:r>
        <w:t>Production content, policies, support contacts, budgets, source attribution, and incident controls are in place.</w:t>
      </w:r>
    </w:p>
    <w:p>
      <w:pPr>
        <w:pStyle w:val="ListBullet"/>
      </w:pPr>
      <w:r>
        <w:t>Stage 2/3 extension boundaries remain intact: portable data, provider adapters, domain services, and separate management surface.</w:t>
      </w:r>
    </w:p>
    <w:sectPr w:rsidR="00FC693F" w:rsidRPr="0006063C" w:rsidSect="00034616">
      <w:headerReference w:type="default" r:id="rId9"/>
      <w:footerReference w:type="default" r:id="rId10"/>
      <w:pgSz w:w="12240" w:h="15840"/>
      <w:pgMar w:top="1123" w:right="1238" w:bottom="1123" w:left="123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D6A75"/>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5D6A75"/>
        <w:sz w:val="17"/>
      </w:rPr>
      <w:t>BBW  |  Stage 1 Product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202A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235B8C"/>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E7C7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5D6A7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403" w:hanging="259"/>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403" w:hanging="259"/>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40"/>
    </w:pPr>
    <w:rPr>
      <w:rFonts w:ascii="Aptos" w:hAnsi="Aptos"/>
      <w:b/>
      <w:color w:val="5D6A7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BBW Platform Stage 1 Product Design</dc:title>
  <dc:subject>Implementation-ready product, UX, architecture, and acceptance specification</dc:subject>
  <dc:creator>BBW / Incendio</dc:creator>
  <cp:keywords>BBW, Stage 1, Founder, Service Provider, VC, Product Design</cp:keywords>
  <dc:description>generated by python-docx</dc:description>
  <cp:lastModifiedBy/>
  <cp:revision>1</cp:revision>
  <dcterms:created xsi:type="dcterms:W3CDTF">2013-12-23T23:15:00Z</dcterms:created>
  <dcterms:modified xsi:type="dcterms:W3CDTF">2013-12-23T23:15:00Z</dcterms:modified>
  <cp:category/>
</cp:coreProperties>
</file>