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widowControl/>
      </w:pPr>
      <w:r>
        <w:rPr>
          <w:rFonts w:ascii="Aptos Display" w:hAnsi="Aptos Display"/>
          <w:b/>
          <w:color w:val="17365D"/>
          <w:sz w:val="54"/>
        </w:rPr>
        <w:t>STATEMENT OF WORK</w:t>
      </w:r>
    </w:p>
    <w:p>
      <w:pPr>
        <w:jc w:val="center"/>
        <w:widowControl/>
      </w:pPr>
      <w:r>
        <w:rPr>
          <w:b/>
          <w:color w:val="2F5597"/>
          <w:sz w:val="32"/>
        </w:rPr>
        <w:t>BBW Platform – Stage 1 Foundational Launch Package</w:t>
      </w:r>
    </w:p>
    <w:p>
      <w:pPr>
        <w:jc w:val="center"/>
        <w:widowControl/>
      </w:pPr>
      <w:r>
        <w:rPr>
          <w:i/>
          <w:color w:val="666666"/>
          <w:sz w:val="24"/>
        </w:rPr>
        <w:t>Basic MVP</w:t>
      </w:r>
    </w:p>
    <w:p>
      <w:pPr>
        <w:spacing w:after="200"/>
        <w:widowControl/>
      </w:pPr>
    </w:p>
    <w:tbl>
      <w:tblPr>
        <w:tblStyle w:val="TableGrid"/>
        <w:tblW w:type="auto" w:w="0"/>
        <w:jc w:val="center"/>
        <w:tblLook w:firstColumn="1" w:firstRow="1" w:lastColumn="0" w:lastRow="0" w:noHBand="0" w:noVBand="1" w:val="04A0"/>
      </w:tblPr>
      <w:tblGrid>
        <w:gridCol w:w="2592"/>
        <w:gridCol w:w="6768"/>
      </w:tblGrid>
      <w:tr>
        <w:trPr>
          <w:tblHeader w:val="true"/>
          <w:cantSplit/>
        </w:trPr>
        <w:tc>
          <w:tcPr>
            <w:tcW w:type="dxa" w:w="5083"/>
            <w:shd w:fill="17365D"/>
            <w:tcMar>
              <w:top w:w="70" w:type="dxa"/>
              <w:start w:w="80" w:type="dxa"/>
              <w:bottom w:w="70" w:type="dxa"/>
              <w:end w:w="80" w:type="dxa"/>
            </w:tcMar>
          </w:tcPr>
          <w:p>
            <w:r>
              <w:rPr>
                <w:rFonts w:ascii="Aptos" w:hAnsi="Aptos"/>
                <w:b/>
                <w:color w:val="FFFFFF"/>
                <w:sz w:val="17"/>
              </w:rPr>
              <w:t>Item</w:t>
            </w:r>
          </w:p>
        </w:tc>
        <w:tc>
          <w:tcPr>
            <w:tcW w:type="dxa" w:w="5083"/>
            <w:shd w:fill="17365D"/>
            <w:tcMar>
              <w:top w:w="70" w:type="dxa"/>
              <w:start w:w="80" w:type="dxa"/>
              <w:bottom w:w="70" w:type="dxa"/>
              <w:end w:w="80" w:type="dxa"/>
            </w:tcMar>
          </w:tcPr>
          <w:p>
            <w:r>
              <w:rPr>
                <w:rFonts w:ascii="Aptos" w:hAnsi="Aptos"/>
                <w:b/>
                <w:color w:val="FFFFFF"/>
                <w:sz w:val="17"/>
              </w:rPr>
              <w:t>Details</w:t>
            </w:r>
          </w:p>
        </w:tc>
      </w:tr>
      <w:tr>
        <w:trPr>
          <w:cantSplit/>
        </w:trPr>
        <w:tc>
          <w:tcPr>
            <w:tcW w:type="dxa" w:w="2592"/>
            <w:tcMar>
              <w:top w:w="70" w:type="dxa"/>
              <w:start w:w="80" w:type="dxa"/>
              <w:bottom w:w="70" w:type="dxa"/>
              <w:end w:w="80" w:type="dxa"/>
            </w:tcMar>
            <w:vAlign w:val="top"/>
          </w:tcPr>
          <w:p>
            <w:pPr>
              <w:spacing w:after="20"/>
            </w:pPr>
            <w:r>
              <w:rPr>
                <w:rFonts w:ascii="Aptos" w:hAnsi="Aptos"/>
                <w:sz w:val="17"/>
              </w:rPr>
              <w:t>Contractor</w:t>
            </w:r>
          </w:p>
        </w:tc>
        <w:tc>
          <w:tcPr>
            <w:tcW w:type="dxa" w:w="6768"/>
            <w:tcMar>
              <w:top w:w="70" w:type="dxa"/>
              <w:start w:w="80" w:type="dxa"/>
              <w:bottom w:w="70" w:type="dxa"/>
              <w:end w:w="80" w:type="dxa"/>
            </w:tcMar>
            <w:vAlign w:val="top"/>
          </w:tcPr>
          <w:p>
            <w:pPr>
              <w:spacing w:after="20"/>
            </w:pPr>
            <w:r>
              <w:rPr>
                <w:rFonts w:ascii="Aptos" w:hAnsi="Aptos"/>
                <w:sz w:val="17"/>
              </w:rPr>
              <w:t>Incendio LLC</w:t>
            </w:r>
          </w:p>
        </w:tc>
      </w:tr>
      <w:tr>
        <w:trPr>
          <w:cantSplit/>
        </w:trPr>
        <w:tc>
          <w:tcPr>
            <w:tcW w:type="dxa" w:w="2592"/>
            <w:tcMar>
              <w:top w:w="70" w:type="dxa"/>
              <w:start w:w="80" w:type="dxa"/>
              <w:bottom w:w="70" w:type="dxa"/>
              <w:end w:w="80" w:type="dxa"/>
            </w:tcMar>
            <w:vAlign w:val="top"/>
            <w:shd w:fill="F7F9FC"/>
          </w:tcPr>
          <w:p>
            <w:pPr>
              <w:spacing w:after="20"/>
            </w:pPr>
            <w:r>
              <w:rPr>
                <w:rFonts w:ascii="Aptos" w:hAnsi="Aptos"/>
                <w:sz w:val="17"/>
              </w:rPr>
              <w:t>Client</w:t>
            </w:r>
          </w:p>
        </w:tc>
        <w:tc>
          <w:tcPr>
            <w:tcW w:type="dxa" w:w="6768"/>
            <w:tcMar>
              <w:top w:w="70" w:type="dxa"/>
              <w:start w:w="80" w:type="dxa"/>
              <w:bottom w:w="70" w:type="dxa"/>
              <w:end w:w="80" w:type="dxa"/>
            </w:tcMar>
            <w:vAlign w:val="top"/>
            <w:shd w:fill="F7F9FC"/>
          </w:tcPr>
          <w:p>
            <w:pPr>
              <w:spacing w:after="20"/>
            </w:pPr>
            <w:r>
              <w:rPr>
                <w:rFonts w:ascii="Aptos" w:hAnsi="Aptos"/>
                <w:sz w:val="17"/>
              </w:rPr>
              <w:t>BBW / Client legal entity to be confirmed</w:t>
            </w:r>
          </w:p>
        </w:tc>
      </w:tr>
      <w:tr>
        <w:trPr>
          <w:cantSplit/>
        </w:trPr>
        <w:tc>
          <w:tcPr>
            <w:tcW w:type="dxa" w:w="2592"/>
            <w:tcMar>
              <w:top w:w="70" w:type="dxa"/>
              <w:start w:w="80" w:type="dxa"/>
              <w:bottom w:w="70" w:type="dxa"/>
              <w:end w:w="80" w:type="dxa"/>
            </w:tcMar>
            <w:vAlign w:val="top"/>
          </w:tcPr>
          <w:p>
            <w:pPr>
              <w:spacing w:after="20"/>
            </w:pPr>
            <w:r>
              <w:rPr>
                <w:rFonts w:ascii="Aptos" w:hAnsi="Aptos"/>
                <w:sz w:val="17"/>
              </w:rPr>
              <w:t>SOW Number</w:t>
            </w:r>
          </w:p>
        </w:tc>
        <w:tc>
          <w:tcPr>
            <w:tcW w:type="dxa" w:w="6768"/>
            <w:tcMar>
              <w:top w:w="70" w:type="dxa"/>
              <w:start w:w="80" w:type="dxa"/>
              <w:bottom w:w="70" w:type="dxa"/>
              <w:end w:w="80" w:type="dxa"/>
            </w:tcMar>
            <w:vAlign w:val="top"/>
          </w:tcPr>
          <w:p>
            <w:pPr>
              <w:spacing w:after="20"/>
            </w:pPr>
            <w:r>
              <w:rPr>
                <w:rFonts w:ascii="Aptos" w:hAnsi="Aptos"/>
                <w:sz w:val="17"/>
              </w:rPr>
              <w:t>BBW-S1-001</w:t>
            </w:r>
          </w:p>
        </w:tc>
      </w:tr>
      <w:tr>
        <w:trPr>
          <w:cantSplit/>
        </w:trPr>
        <w:tc>
          <w:tcPr>
            <w:tcW w:type="dxa" w:w="2592"/>
            <w:tcMar>
              <w:top w:w="70" w:type="dxa"/>
              <w:start w:w="80" w:type="dxa"/>
              <w:bottom w:w="70" w:type="dxa"/>
              <w:end w:w="80" w:type="dxa"/>
            </w:tcMar>
            <w:vAlign w:val="top"/>
            <w:shd w:fill="F7F9FC"/>
          </w:tcPr>
          <w:p>
            <w:pPr>
              <w:spacing w:after="20"/>
            </w:pPr>
            <w:r>
              <w:rPr>
                <w:rFonts w:ascii="Aptos" w:hAnsi="Aptos"/>
                <w:sz w:val="17"/>
              </w:rPr>
              <w:t>Effective Date</w:t>
            </w:r>
          </w:p>
        </w:tc>
        <w:tc>
          <w:tcPr>
            <w:tcW w:type="dxa" w:w="6768"/>
            <w:tcMar>
              <w:top w:w="70" w:type="dxa"/>
              <w:start w:w="80" w:type="dxa"/>
              <w:bottom w:w="70" w:type="dxa"/>
              <w:end w:w="80" w:type="dxa"/>
            </w:tcMar>
            <w:vAlign w:val="top"/>
            <w:shd w:fill="F7F9FC"/>
          </w:tcPr>
          <w:p>
            <w:pPr>
              <w:spacing w:after="20"/>
            </w:pPr>
            <w:r>
              <w:rPr>
                <w:rFonts w:ascii="Aptos" w:hAnsi="Aptos"/>
                <w:sz w:val="17"/>
              </w:rPr>
              <w:t>Date of last signature</w:t>
            </w:r>
          </w:p>
        </w:tc>
      </w:tr>
      <w:tr>
        <w:trPr>
          <w:cantSplit/>
        </w:trPr>
        <w:tc>
          <w:tcPr>
            <w:tcW w:type="dxa" w:w="2592"/>
            <w:tcMar>
              <w:top w:w="70" w:type="dxa"/>
              <w:start w:w="80" w:type="dxa"/>
              <w:bottom w:w="70" w:type="dxa"/>
              <w:end w:w="80" w:type="dxa"/>
            </w:tcMar>
            <w:vAlign w:val="top"/>
          </w:tcPr>
          <w:p>
            <w:pPr>
              <w:spacing w:after="20"/>
            </w:pPr>
            <w:r>
              <w:rPr>
                <w:rFonts w:ascii="Aptos" w:hAnsi="Aptos"/>
                <w:sz w:val="17"/>
              </w:rPr>
              <w:t>Fixed Price</w:t>
            </w:r>
          </w:p>
        </w:tc>
        <w:tc>
          <w:tcPr>
            <w:tcW w:type="dxa" w:w="6768"/>
            <w:tcMar>
              <w:top w:w="70" w:type="dxa"/>
              <w:start w:w="80" w:type="dxa"/>
              <w:bottom w:w="70" w:type="dxa"/>
              <w:end w:w="80" w:type="dxa"/>
            </w:tcMar>
            <w:vAlign w:val="top"/>
          </w:tcPr>
          <w:p>
            <w:pPr>
              <w:spacing w:after="20"/>
            </w:pPr>
            <w:r>
              <w:rPr>
                <w:rFonts w:ascii="Aptos" w:hAnsi="Aptos"/>
                <w:sz w:val="17"/>
              </w:rPr>
              <w:t>$5,000</w:t>
            </w:r>
          </w:p>
        </w:tc>
      </w:tr>
      <w:tr>
        <w:trPr>
          <w:cantSplit/>
        </w:trPr>
        <w:tc>
          <w:tcPr>
            <w:tcW w:type="dxa" w:w="2592"/>
            <w:tcMar>
              <w:top w:w="70" w:type="dxa"/>
              <w:start w:w="80" w:type="dxa"/>
              <w:bottom w:w="70" w:type="dxa"/>
              <w:end w:w="80" w:type="dxa"/>
            </w:tcMar>
            <w:vAlign w:val="top"/>
            <w:shd w:fill="F7F9FC"/>
          </w:tcPr>
          <w:p>
            <w:pPr>
              <w:spacing w:after="20"/>
            </w:pPr>
            <w:r>
              <w:rPr>
                <w:rFonts w:ascii="Aptos" w:hAnsi="Aptos"/>
                <w:sz w:val="17"/>
              </w:rPr>
              <w:t>Beta Delivery</w:t>
            </w:r>
          </w:p>
        </w:tc>
        <w:tc>
          <w:tcPr>
            <w:tcW w:type="dxa" w:w="6768"/>
            <w:tcMar>
              <w:top w:w="70" w:type="dxa"/>
              <w:start w:w="80" w:type="dxa"/>
              <w:bottom w:w="70" w:type="dxa"/>
              <w:end w:w="80" w:type="dxa"/>
            </w:tcMar>
            <w:vAlign w:val="top"/>
            <w:shd w:fill="F7F9FC"/>
          </w:tcPr>
          <w:p>
            <w:pPr>
              <w:spacing w:after="20"/>
            </w:pPr>
            <w:r>
              <w:rPr>
                <w:rFonts w:ascii="Aptos" w:hAnsi="Aptos"/>
                <w:sz w:val="17"/>
              </w:rPr>
              <w:t>November 1, 2026</w:t>
            </w:r>
          </w:p>
        </w:tc>
      </w:tr>
      <w:tr>
        <w:trPr>
          <w:cantSplit/>
        </w:trPr>
        <w:tc>
          <w:tcPr>
            <w:tcW w:type="dxa" w:w="2592"/>
            <w:tcMar>
              <w:top w:w="70" w:type="dxa"/>
              <w:start w:w="80" w:type="dxa"/>
              <w:bottom w:w="70" w:type="dxa"/>
              <w:end w:w="80" w:type="dxa"/>
            </w:tcMar>
            <w:vAlign w:val="top"/>
          </w:tcPr>
          <w:p>
            <w:pPr>
              <w:spacing w:after="20"/>
            </w:pPr>
            <w:r>
              <w:rPr>
                <w:rFonts w:ascii="Aptos" w:hAnsi="Aptos"/>
                <w:sz w:val="17"/>
              </w:rPr>
              <w:t>Production Launch</w:t>
            </w:r>
          </w:p>
        </w:tc>
        <w:tc>
          <w:tcPr>
            <w:tcW w:type="dxa" w:w="6768"/>
            <w:tcMar>
              <w:top w:w="70" w:type="dxa"/>
              <w:start w:w="80" w:type="dxa"/>
              <w:bottom w:w="70" w:type="dxa"/>
              <w:end w:w="80" w:type="dxa"/>
            </w:tcMar>
            <w:vAlign w:val="top"/>
          </w:tcPr>
          <w:p>
            <w:pPr>
              <w:spacing w:after="20"/>
            </w:pPr>
            <w:r>
              <w:rPr>
                <w:rFonts w:ascii="Aptos" w:hAnsi="Aptos"/>
                <w:sz w:val="17"/>
              </w:rPr>
              <w:t>On or before December 31, 2026</w:t>
            </w:r>
          </w:p>
        </w:tc>
      </w:tr>
    </w:tbl>
    <w:p>
      <w:pPr>
        <w:spacing w:after="20"/>
        <w:widowControl/>
      </w:pPr>
    </w:p>
    <w:p>
      <w:pPr>
        <w:pStyle w:val="Callout"/>
        <w:jc w:val="center"/>
        <w:widowControl/>
      </w:pPr>
      <w:r>
        <w:t>Purpose: establish a launch-ready BBW web platform with the six Stage 1 MVP modules defined below.</w:t>
      </w:r>
    </w:p>
    <w:p>
      <w:pPr>
        <w:pStyle w:val="Small"/>
        <w:jc w:val="center"/>
        <w:widowControl/>
      </w:pPr>
      <w:r>
        <w:t>This SOW is intended to serve as the operational scope document for the project. If a separate Master Services Agreement or Services Agreement is executed, that agreement governs general legal terms in the event of conflict.</w:t>
      </w:r>
    </w:p>
    <w:p>
      <w:pPr>
        <w:widowControl/>
      </w:pPr>
      <w:r>
        <w:br w:type="page"/>
      </w:r>
    </w:p>
    <w:p>
      <w:pPr>
        <w:pStyle w:val="Heading1"/>
        <w:keepNext/>
        <w:keepLines/>
        <w:widowControl/>
      </w:pPr>
      <w:r>
        <w:t>1. Project Overview</w:t>
      </w:r>
    </w:p>
    <w:p>
      <w:pPr>
        <w:widowControl/>
      </w:pPr>
      <w:r>
        <w:rPr>
          <w:b/>
        </w:rPr>
        <w:t xml:space="preserve">Objective. </w:t>
      </w:r>
      <w:r>
        <w:t>Contractor will design, build, configure, test, and deploy the Stage 1 BBW web application as a Basic MVP. The solution will provide the foundational backend, authenticated user access, business information workspace, starter chat experience, live industry news display, and a basic community directory.</w:t>
      </w:r>
    </w:p>
    <w:p>
      <w:pPr>
        <w:widowControl/>
      </w:pPr>
      <w:r>
        <w:rPr>
          <w:b/>
        </w:rPr>
        <w:t xml:space="preserve">Delivery model. </w:t>
      </w:r>
      <w:r>
        <w:t>This is a fixed-price, milestone-based implementation. Stage 1 is intentionally limited to the functionality stated in this SOW; later-stage AI, billing, automation, and enterprise capabilities are excluded unless added by written change order.</w:t>
      </w:r>
    </w:p>
    <w:p>
      <w:pPr>
        <w:pStyle w:val="Heading1"/>
        <w:keepNext/>
        <w:keepLines/>
        <w:widowControl/>
      </w:pPr>
      <w:r>
        <w:t>2. Scope of Services</w:t>
      </w:r>
    </w:p>
    <w:tbl>
      <w:tblPr>
        <w:tblStyle w:val="TableGrid"/>
        <w:tblW w:type="auto" w:w="0"/>
        <w:jc w:val="center"/>
        <w:tblLook w:firstColumn="1" w:firstRow="1" w:lastColumn="0" w:lastRow="0" w:noHBand="0" w:noVBand="1" w:val="04A0"/>
      </w:tblPr>
      <w:tblGrid>
        <w:gridCol w:w="2520"/>
        <w:gridCol w:w="6840"/>
      </w:tblGrid>
      <w:tr>
        <w:trPr>
          <w:tblHeader w:val="true"/>
          <w:cantSplit/>
        </w:trPr>
        <w:tc>
          <w:tcPr>
            <w:tcW w:type="dxa" w:w="5083"/>
            <w:shd w:fill="17365D"/>
            <w:tcMar>
              <w:top w:w="70" w:type="dxa"/>
              <w:start w:w="80" w:type="dxa"/>
              <w:bottom w:w="70" w:type="dxa"/>
              <w:end w:w="80" w:type="dxa"/>
            </w:tcMar>
          </w:tcPr>
          <w:p>
            <w:r>
              <w:rPr>
                <w:rFonts w:ascii="Aptos" w:hAnsi="Aptos"/>
                <w:b/>
                <w:color w:val="FFFFFF"/>
                <w:sz w:val="17"/>
              </w:rPr>
              <w:t>Module</w:t>
            </w:r>
          </w:p>
        </w:tc>
        <w:tc>
          <w:tcPr>
            <w:tcW w:type="dxa" w:w="5083"/>
            <w:shd w:fill="17365D"/>
            <w:tcMar>
              <w:top w:w="70" w:type="dxa"/>
              <w:start w:w="80" w:type="dxa"/>
              <w:bottom w:w="70" w:type="dxa"/>
              <w:end w:w="80" w:type="dxa"/>
            </w:tcMar>
          </w:tcPr>
          <w:p>
            <w:r>
              <w:rPr>
                <w:rFonts w:ascii="Aptos" w:hAnsi="Aptos"/>
                <w:b/>
                <w:color w:val="FFFFFF"/>
                <w:sz w:val="17"/>
              </w:rPr>
              <w:t>Work Included</w:t>
            </w:r>
          </w:p>
        </w:tc>
      </w:tr>
      <w:tr>
        <w:trPr>
          <w:cantSplit/>
        </w:trPr>
        <w:tc>
          <w:tcPr>
            <w:tcW w:type="dxa" w:w="2520"/>
            <w:tcMar>
              <w:top w:w="70" w:type="dxa"/>
              <w:start w:w="80" w:type="dxa"/>
              <w:bottom w:w="70" w:type="dxa"/>
              <w:end w:w="80" w:type="dxa"/>
            </w:tcMar>
            <w:vAlign w:val="top"/>
          </w:tcPr>
          <w:p>
            <w:pPr>
              <w:spacing w:after="20"/>
            </w:pPr>
            <w:r>
              <w:rPr>
                <w:rFonts w:ascii="Aptos" w:hAnsi="Aptos"/>
                <w:sz w:val="17"/>
              </w:rPr>
              <w:t>1. Core Platform Setup</w:t>
            </w:r>
          </w:p>
        </w:tc>
        <w:tc>
          <w:tcPr>
            <w:tcW w:type="dxa" w:w="6840"/>
            <w:tcMar>
              <w:top w:w="70" w:type="dxa"/>
              <w:start w:w="80" w:type="dxa"/>
              <w:bottom w:w="70" w:type="dxa"/>
              <w:end w:w="80" w:type="dxa"/>
            </w:tcMar>
            <w:vAlign w:val="top"/>
          </w:tcPr>
          <w:p>
            <w:pPr>
              <w:spacing w:after="20"/>
            </w:pPr>
            <w:r>
              <w:rPr>
                <w:rFonts w:ascii="Aptos" w:hAnsi="Aptos"/>
                <w:sz w:val="17"/>
              </w:rPr>
              <w:t>Relational database design for Stage 1 data; cloud/application environment configuration; deployment setup; domain/service configuration; baseline application structure and navigation.</w:t>
            </w:r>
          </w:p>
        </w:tc>
      </w:tr>
      <w:tr>
        <w:trPr>
          <w:cantSplit/>
        </w:trPr>
        <w:tc>
          <w:tcPr>
            <w:tcW w:type="dxa" w:w="2520"/>
            <w:tcMar>
              <w:top w:w="70" w:type="dxa"/>
              <w:start w:w="80" w:type="dxa"/>
              <w:bottom w:w="70" w:type="dxa"/>
              <w:end w:w="80" w:type="dxa"/>
            </w:tcMar>
            <w:vAlign w:val="top"/>
            <w:shd w:fill="F7F9FC"/>
          </w:tcPr>
          <w:p>
            <w:pPr>
              <w:spacing w:after="20"/>
            </w:pPr>
            <w:r>
              <w:rPr>
                <w:rFonts w:ascii="Aptos" w:hAnsi="Aptos"/>
                <w:sz w:val="17"/>
              </w:rPr>
              <w:t>2. Account &amp; Login System</w:t>
            </w:r>
          </w:p>
        </w:tc>
        <w:tc>
          <w:tcPr>
            <w:tcW w:type="dxa" w:w="6840"/>
            <w:tcMar>
              <w:top w:w="70" w:type="dxa"/>
              <w:start w:w="80" w:type="dxa"/>
              <w:bottom w:w="70" w:type="dxa"/>
              <w:end w:w="80" w:type="dxa"/>
            </w:tcMar>
            <w:vAlign w:val="top"/>
            <w:shd w:fill="F7F9FC"/>
          </w:tcPr>
          <w:p>
            <w:pPr>
              <w:spacing w:after="20"/>
            </w:pPr>
            <w:r>
              <w:rPr>
                <w:rFonts w:ascii="Aptos" w:hAnsi="Aptos"/>
                <w:sz w:val="17"/>
              </w:rPr>
              <w:t>User registration and login; password-protected authentication; basic user profile management; authenticated dashboard access and navigation.</w:t>
            </w:r>
          </w:p>
        </w:tc>
      </w:tr>
      <w:tr>
        <w:trPr>
          <w:cantSplit/>
        </w:trPr>
        <w:tc>
          <w:tcPr>
            <w:tcW w:type="dxa" w:w="2520"/>
            <w:tcMar>
              <w:top w:w="70" w:type="dxa"/>
              <w:start w:w="80" w:type="dxa"/>
              <w:bottom w:w="70" w:type="dxa"/>
              <w:end w:w="80" w:type="dxa"/>
            </w:tcMar>
            <w:vAlign w:val="top"/>
          </w:tcPr>
          <w:p>
            <w:pPr>
              <w:spacing w:after="20"/>
            </w:pPr>
            <w:r>
              <w:rPr>
                <w:rFonts w:ascii="Aptos" w:hAnsi="Aptos"/>
                <w:sz w:val="17"/>
              </w:rPr>
              <w:t>3. Business Information Hub</w:t>
            </w:r>
          </w:p>
        </w:tc>
        <w:tc>
          <w:tcPr>
            <w:tcW w:type="dxa" w:w="6840"/>
            <w:tcMar>
              <w:top w:w="70" w:type="dxa"/>
              <w:start w:w="80" w:type="dxa"/>
              <w:bottom w:w="70" w:type="dxa"/>
              <w:end w:w="80" w:type="dxa"/>
            </w:tcMar>
            <w:vAlign w:val="top"/>
          </w:tcPr>
          <w:p>
            <w:pPr>
              <w:spacing w:after="20"/>
            </w:pPr>
            <w:r>
              <w:rPr>
                <w:rFonts w:ascii="Aptos" w:hAnsi="Aptos"/>
                <w:sz w:val="17"/>
              </w:rPr>
              <w:t>Founder/company dashboard displaying core company information, business stage, strategic goals, and operational progress; administrative/manual update capability for in-scope company information.</w:t>
            </w:r>
          </w:p>
        </w:tc>
      </w:tr>
      <w:tr>
        <w:trPr>
          <w:cantSplit/>
        </w:trPr>
        <w:tc>
          <w:tcPr>
            <w:tcW w:type="dxa" w:w="2520"/>
            <w:tcMar>
              <w:top w:w="70" w:type="dxa"/>
              <w:start w:w="80" w:type="dxa"/>
              <w:bottom w:w="70" w:type="dxa"/>
              <w:end w:w="80" w:type="dxa"/>
            </w:tcMar>
            <w:vAlign w:val="top"/>
            <w:shd w:fill="F7F9FC"/>
          </w:tcPr>
          <w:p>
            <w:pPr>
              <w:spacing w:after="20"/>
            </w:pPr>
            <w:r>
              <w:rPr>
                <w:rFonts w:ascii="Aptos" w:hAnsi="Aptos"/>
                <w:sz w:val="17"/>
              </w:rPr>
              <w:t>4. Starter Industry Chatbox</w:t>
            </w:r>
          </w:p>
        </w:tc>
        <w:tc>
          <w:tcPr>
            <w:tcW w:type="dxa" w:w="6840"/>
            <w:tcMar>
              <w:top w:w="70" w:type="dxa"/>
              <w:start w:w="80" w:type="dxa"/>
              <w:bottom w:w="70" w:type="dxa"/>
              <w:end w:w="80" w:type="dxa"/>
            </w:tcMar>
            <w:vAlign w:val="top"/>
            <w:shd w:fill="F7F9FC"/>
          </w:tcPr>
          <w:p>
            <w:pPr>
              <w:spacing w:after="20"/>
            </w:pPr>
            <w:r>
              <w:rPr>
                <w:rFonts w:ascii="Aptos" w:hAnsi="Aptos"/>
                <w:sz w:val="17"/>
              </w:rPr>
              <w:t>Simple chat-style interface for baseline startup/industry questions; configured baseline responses/guidance. No RAG, proprietary-document retrieval, deep contextual memory, or advanced AI orchestration.</w:t>
            </w:r>
          </w:p>
        </w:tc>
      </w:tr>
      <w:tr>
        <w:trPr>
          <w:cantSplit/>
        </w:trPr>
        <w:tc>
          <w:tcPr>
            <w:tcW w:type="dxa" w:w="2520"/>
            <w:tcMar>
              <w:top w:w="70" w:type="dxa"/>
              <w:start w:w="80" w:type="dxa"/>
              <w:bottom w:w="70" w:type="dxa"/>
              <w:end w:w="80" w:type="dxa"/>
            </w:tcMar>
            <w:vAlign w:val="top"/>
          </w:tcPr>
          <w:p>
            <w:pPr>
              <w:spacing w:after="20"/>
            </w:pPr>
            <w:r>
              <w:rPr>
                <w:rFonts w:ascii="Aptos" w:hAnsi="Aptos"/>
                <w:sz w:val="17"/>
              </w:rPr>
              <w:t>5. Industry News Feed</w:t>
            </w:r>
          </w:p>
        </w:tc>
        <w:tc>
          <w:tcPr>
            <w:tcW w:type="dxa" w:w="6840"/>
            <w:tcMar>
              <w:top w:w="70" w:type="dxa"/>
              <w:start w:w="80" w:type="dxa"/>
              <w:bottom w:w="70" w:type="dxa"/>
              <w:end w:w="80" w:type="dxa"/>
            </w:tcMar>
            <w:vAlign w:val="top"/>
          </w:tcPr>
          <w:p>
            <w:pPr>
              <w:spacing w:after="20"/>
            </w:pPr>
            <w:r>
              <w:rPr>
                <w:rFonts w:ascii="Aptos" w:hAnsi="Aptos"/>
                <w:sz w:val="17"/>
              </w:rPr>
              <w:t>Integration of one agreed news/API/source to display current biotech and business news; headline/source/date/link display where provided by the source; news visible within the user workspace.</w:t>
            </w:r>
          </w:p>
        </w:tc>
      </w:tr>
      <w:tr>
        <w:trPr>
          <w:cantSplit/>
        </w:trPr>
        <w:tc>
          <w:tcPr>
            <w:tcW w:type="dxa" w:w="2520"/>
            <w:tcMar>
              <w:top w:w="70" w:type="dxa"/>
              <w:start w:w="80" w:type="dxa"/>
              <w:bottom w:w="70" w:type="dxa"/>
              <w:end w:w="80" w:type="dxa"/>
            </w:tcMar>
            <w:vAlign w:val="top"/>
            <w:shd w:fill="F7F9FC"/>
          </w:tcPr>
          <w:p>
            <w:pPr>
              <w:spacing w:after="20"/>
            </w:pPr>
            <w:r>
              <w:rPr>
                <w:rFonts w:ascii="Aptos" w:hAnsi="Aptos"/>
                <w:sz w:val="17"/>
              </w:rPr>
              <w:t>6. Basic Community Directory</w:t>
            </w:r>
          </w:p>
        </w:tc>
        <w:tc>
          <w:tcPr>
            <w:tcW w:type="dxa" w:w="6840"/>
            <w:tcMar>
              <w:top w:w="70" w:type="dxa"/>
              <w:start w:w="80" w:type="dxa"/>
              <w:bottom w:w="70" w:type="dxa"/>
              <w:end w:w="80" w:type="dxa"/>
            </w:tcMar>
            <w:vAlign w:val="top"/>
            <w:shd w:fill="F7F9FC"/>
          </w:tcPr>
          <w:p>
            <w:pPr>
              <w:spacing w:after="20"/>
            </w:pPr>
            <w:r>
              <w:rPr>
                <w:rFonts w:ascii="Aptos" w:hAnsi="Aptos"/>
                <w:sz w:val="17"/>
              </w:rPr>
              <w:t>List/card directory of selected industry groups, partner networks, and founder communities; structured community profiles with available focus, details, and membership information.</w:t>
            </w:r>
          </w:p>
        </w:tc>
      </w:tr>
    </w:tbl>
    <w:p>
      <w:pPr>
        <w:spacing w:after="20"/>
        <w:widowControl/>
      </w:pPr>
    </w:p>
    <w:p>
      <w:pPr>
        <w:pStyle w:val="Heading1"/>
        <w:keepNext/>
        <w:keepLines/>
        <w:widowControl/>
      </w:pPr>
      <w:r>
        <w:t>3. Deliverables and Acceptance</w:t>
      </w:r>
    </w:p>
    <w:tbl>
      <w:tblPr>
        <w:tblStyle w:val="TableGrid"/>
        <w:tblW w:type="auto" w:w="0"/>
        <w:jc w:val="center"/>
        <w:tblLook w:firstColumn="1" w:firstRow="1" w:lastColumn="0" w:lastRow="0" w:noHBand="0" w:noVBand="1" w:val="04A0"/>
      </w:tblPr>
      <w:tblGrid>
        <w:gridCol w:w="792"/>
        <w:gridCol w:w="2232"/>
        <w:gridCol w:w="6336"/>
      </w:tblGrid>
      <w:tr>
        <w:trPr>
          <w:tblHeader w:val="true"/>
          <w:cantSplit/>
        </w:trPr>
        <w:tc>
          <w:tcPr>
            <w:tcW w:type="dxa" w:w="3389"/>
            <w:shd w:fill="17365D"/>
            <w:tcMar>
              <w:top w:w="70" w:type="dxa"/>
              <w:start w:w="80" w:type="dxa"/>
              <w:bottom w:w="70" w:type="dxa"/>
              <w:end w:w="80" w:type="dxa"/>
            </w:tcMar>
          </w:tcPr>
          <w:p>
            <w:r>
              <w:rPr>
                <w:rFonts w:ascii="Aptos" w:hAnsi="Aptos"/>
                <w:b/>
                <w:color w:val="FFFFFF"/>
                <w:sz w:val="17"/>
              </w:rPr>
              <w:t>ID</w:t>
            </w:r>
          </w:p>
        </w:tc>
        <w:tc>
          <w:tcPr>
            <w:tcW w:type="dxa" w:w="3389"/>
            <w:shd w:fill="17365D"/>
            <w:tcMar>
              <w:top w:w="70" w:type="dxa"/>
              <w:start w:w="80" w:type="dxa"/>
              <w:bottom w:w="70" w:type="dxa"/>
              <w:end w:w="80" w:type="dxa"/>
            </w:tcMar>
          </w:tcPr>
          <w:p>
            <w:r>
              <w:rPr>
                <w:rFonts w:ascii="Aptos" w:hAnsi="Aptos"/>
                <w:b/>
                <w:color w:val="FFFFFF"/>
                <w:sz w:val="17"/>
              </w:rPr>
              <w:t>Deliverable</w:t>
            </w:r>
          </w:p>
        </w:tc>
        <w:tc>
          <w:tcPr>
            <w:tcW w:type="dxa" w:w="3389"/>
            <w:shd w:fill="17365D"/>
            <w:tcMar>
              <w:top w:w="70" w:type="dxa"/>
              <w:start w:w="80" w:type="dxa"/>
              <w:bottom w:w="70" w:type="dxa"/>
              <w:end w:w="80" w:type="dxa"/>
            </w:tcMar>
          </w:tcPr>
          <w:p>
            <w:r>
              <w:rPr>
                <w:rFonts w:ascii="Aptos" w:hAnsi="Aptos"/>
                <w:b/>
                <w:color w:val="FFFFFF"/>
                <w:sz w:val="17"/>
              </w:rPr>
              <w:t>Acceptance Standard</w:t>
            </w:r>
          </w:p>
        </w:tc>
      </w:tr>
      <w:tr>
        <w:trPr>
          <w:cantSplit/>
        </w:trPr>
        <w:tc>
          <w:tcPr>
            <w:tcW w:type="dxa" w:w="792"/>
            <w:tcMar>
              <w:top w:w="70" w:type="dxa"/>
              <w:start w:w="80" w:type="dxa"/>
              <w:bottom w:w="70" w:type="dxa"/>
              <w:end w:w="80" w:type="dxa"/>
            </w:tcMar>
            <w:vAlign w:val="top"/>
          </w:tcPr>
          <w:p>
            <w:pPr>
              <w:spacing w:after="20"/>
            </w:pPr>
            <w:r>
              <w:rPr>
                <w:rFonts w:ascii="Aptos" w:hAnsi="Aptos"/>
                <w:sz w:val="17"/>
              </w:rPr>
              <w:t>D1</w:t>
            </w:r>
          </w:p>
        </w:tc>
        <w:tc>
          <w:tcPr>
            <w:tcW w:type="dxa" w:w="2232"/>
            <w:tcMar>
              <w:top w:w="70" w:type="dxa"/>
              <w:start w:w="80" w:type="dxa"/>
              <w:bottom w:w="70" w:type="dxa"/>
              <w:end w:w="80" w:type="dxa"/>
            </w:tcMar>
            <w:vAlign w:val="top"/>
          </w:tcPr>
          <w:p>
            <w:pPr>
              <w:spacing w:after="20"/>
            </w:pPr>
            <w:r>
              <w:rPr>
                <w:rFonts w:ascii="Aptos" w:hAnsi="Aptos"/>
                <w:sz w:val="17"/>
              </w:rPr>
              <w:t>Stage 1 Beta</w:t>
            </w:r>
          </w:p>
        </w:tc>
        <w:tc>
          <w:tcPr>
            <w:tcW w:type="dxa" w:w="6336"/>
            <w:tcMar>
              <w:top w:w="70" w:type="dxa"/>
              <w:start w:w="80" w:type="dxa"/>
              <w:bottom w:w="70" w:type="dxa"/>
              <w:end w:w="80" w:type="dxa"/>
            </w:tcMar>
            <w:vAlign w:val="top"/>
          </w:tcPr>
          <w:p>
            <w:pPr>
              <w:spacing w:after="20"/>
            </w:pPr>
            <w:r>
              <w:rPr>
                <w:rFonts w:ascii="Aptos" w:hAnsi="Aptos"/>
                <w:sz w:val="17"/>
              </w:rPr>
              <w:t>Beta application accessible to Client for review by November 1, 2026, with the six in-scope modules materially implemented.</w:t>
            </w:r>
          </w:p>
        </w:tc>
      </w:tr>
      <w:tr>
        <w:trPr>
          <w:cantSplit/>
        </w:trPr>
        <w:tc>
          <w:tcPr>
            <w:tcW w:type="dxa" w:w="792"/>
            <w:tcMar>
              <w:top w:w="70" w:type="dxa"/>
              <w:start w:w="80" w:type="dxa"/>
              <w:bottom w:w="70" w:type="dxa"/>
              <w:end w:w="80" w:type="dxa"/>
            </w:tcMar>
            <w:vAlign w:val="top"/>
            <w:shd w:fill="F7F9FC"/>
          </w:tcPr>
          <w:p>
            <w:pPr>
              <w:spacing w:after="20"/>
            </w:pPr>
            <w:r>
              <w:rPr>
                <w:rFonts w:ascii="Aptos" w:hAnsi="Aptos"/>
                <w:sz w:val="17"/>
              </w:rPr>
              <w:t>D2</w:t>
            </w:r>
          </w:p>
        </w:tc>
        <w:tc>
          <w:tcPr>
            <w:tcW w:type="dxa" w:w="2232"/>
            <w:tcMar>
              <w:top w:w="70" w:type="dxa"/>
              <w:start w:w="80" w:type="dxa"/>
              <w:bottom w:w="70" w:type="dxa"/>
              <w:end w:w="80" w:type="dxa"/>
            </w:tcMar>
            <w:vAlign w:val="top"/>
            <w:shd w:fill="F7F9FC"/>
          </w:tcPr>
          <w:p>
            <w:pPr>
              <w:spacing w:after="20"/>
            </w:pPr>
            <w:r>
              <w:rPr>
                <w:rFonts w:ascii="Aptos" w:hAnsi="Aptos"/>
                <w:sz w:val="17"/>
              </w:rPr>
              <w:t>Production Release</w:t>
            </w:r>
          </w:p>
        </w:tc>
        <w:tc>
          <w:tcPr>
            <w:tcW w:type="dxa" w:w="6336"/>
            <w:tcMar>
              <w:top w:w="70" w:type="dxa"/>
              <w:start w:w="80" w:type="dxa"/>
              <w:bottom w:w="70" w:type="dxa"/>
              <w:end w:w="80" w:type="dxa"/>
            </w:tcMar>
            <w:vAlign w:val="top"/>
            <w:shd w:fill="F7F9FC"/>
          </w:tcPr>
          <w:p>
            <w:pPr>
              <w:spacing w:after="20"/>
            </w:pPr>
            <w:r>
              <w:rPr>
                <w:rFonts w:ascii="Aptos" w:hAnsi="Aptos"/>
                <w:sz w:val="17"/>
              </w:rPr>
              <w:t>Accepted Stage 1 application deployed to the agreed production environment on or before December 31, 2026.</w:t>
            </w:r>
          </w:p>
        </w:tc>
      </w:tr>
      <w:tr>
        <w:trPr>
          <w:cantSplit/>
        </w:trPr>
        <w:tc>
          <w:tcPr>
            <w:tcW w:type="dxa" w:w="792"/>
            <w:tcMar>
              <w:top w:w="70" w:type="dxa"/>
              <w:start w:w="80" w:type="dxa"/>
              <w:bottom w:w="70" w:type="dxa"/>
              <w:end w:w="80" w:type="dxa"/>
            </w:tcMar>
            <w:vAlign w:val="top"/>
          </w:tcPr>
          <w:p>
            <w:pPr>
              <w:spacing w:after="20"/>
            </w:pPr>
            <w:r>
              <w:rPr>
                <w:rFonts w:ascii="Aptos" w:hAnsi="Aptos"/>
                <w:sz w:val="17"/>
              </w:rPr>
              <w:t>D3</w:t>
            </w:r>
          </w:p>
        </w:tc>
        <w:tc>
          <w:tcPr>
            <w:tcW w:type="dxa" w:w="2232"/>
            <w:tcMar>
              <w:top w:w="70" w:type="dxa"/>
              <w:start w:w="80" w:type="dxa"/>
              <w:bottom w:w="70" w:type="dxa"/>
              <w:end w:w="80" w:type="dxa"/>
            </w:tcMar>
            <w:vAlign w:val="top"/>
          </w:tcPr>
          <w:p>
            <w:pPr>
              <w:spacing w:after="20"/>
            </w:pPr>
            <w:r>
              <w:rPr>
                <w:rFonts w:ascii="Aptos" w:hAnsi="Aptos"/>
                <w:sz w:val="17"/>
              </w:rPr>
              <w:t>Project Handoff</w:t>
            </w:r>
          </w:p>
        </w:tc>
        <w:tc>
          <w:tcPr>
            <w:tcW w:type="dxa" w:w="6336"/>
            <w:tcMar>
              <w:top w:w="70" w:type="dxa"/>
              <w:start w:w="80" w:type="dxa"/>
              <w:bottom w:w="70" w:type="dxa"/>
              <w:end w:w="80" w:type="dxa"/>
            </w:tcMar>
            <w:vAlign w:val="top"/>
          </w:tcPr>
          <w:p>
            <w:pPr>
              <w:spacing w:after="20"/>
            </w:pPr>
            <w:r>
              <w:rPr>
                <w:rFonts w:ascii="Aptos" w:hAnsi="Aptos"/>
                <w:sz w:val="17"/>
              </w:rPr>
              <w:t>Project-specific source code in the agreed repository, basic deployment/configuration notes, and reasonable credential/administrative handoff needed for the delivered system.</w:t>
            </w:r>
          </w:p>
        </w:tc>
      </w:tr>
    </w:tbl>
    <w:p>
      <w:pPr>
        <w:spacing w:after="20"/>
        <w:widowControl/>
      </w:pPr>
    </w:p>
    <w:p>
      <w:pPr>
        <w:widowControl/>
      </w:pPr>
      <w:r>
        <w:rPr>
          <w:b/>
        </w:rPr>
        <w:t xml:space="preserve">Acceptance process. </w:t>
      </w:r>
      <w:r>
        <w:t>Client will have five (5) business days after each delivery notice to provide one consolidated written list of material, reproducible issues that cause an in-scope feature not to substantially match this SOW. Contractor will correct confirmed in-scope acceptance defects and resubmit the affected item. A deliverable is accepted when Client confirms acceptance in writing, places it into production use, or does not provide a material SOW-based rejection within the review period.</w:t>
      </w:r>
    </w:p>
    <w:p>
      <w:pPr>
        <w:widowControl/>
      </w:pPr>
      <w:r>
        <w:rPr>
          <w:b/>
        </w:rPr>
        <w:t xml:space="preserve">Acceptance is based on functional conformity, not preference changes. </w:t>
      </w:r>
      <w:r>
        <w:t>Cosmetic refinements, new workflows, new integrations, new data fields, or newly requested functionality are handled through normal feedback if minor and within scope, or through Change Control if they materially expand the work.</w:t>
      </w:r>
    </w:p>
    <w:p>
      <w:pPr>
        <w:pStyle w:val="Heading1"/>
        <w:keepNext/>
        <w:keepLines/>
        <w:widowControl/>
      </w:pPr>
      <w:r>
        <w:t>4. Schedule and Milestones</w:t>
      </w:r>
    </w:p>
    <w:tbl>
      <w:tblPr>
        <w:tblStyle w:val="TableGrid"/>
        <w:tblW w:type="auto" w:w="0"/>
        <w:jc w:val="center"/>
        <w:tblLook w:firstColumn="1" w:firstRow="1" w:lastColumn="0" w:lastRow="0" w:noHBand="0" w:noVBand="1" w:val="04A0"/>
      </w:tblPr>
      <w:tblGrid>
        <w:gridCol w:w="4896"/>
        <w:gridCol w:w="4464"/>
      </w:tblGrid>
      <w:tr>
        <w:trPr>
          <w:tblHeader w:val="true"/>
          <w:cantSplit/>
        </w:trPr>
        <w:tc>
          <w:tcPr>
            <w:tcW w:type="dxa" w:w="5083"/>
            <w:shd w:fill="17365D"/>
            <w:tcMar>
              <w:top w:w="70" w:type="dxa"/>
              <w:start w:w="80" w:type="dxa"/>
              <w:bottom w:w="70" w:type="dxa"/>
              <w:end w:w="80" w:type="dxa"/>
            </w:tcMar>
          </w:tcPr>
          <w:p>
            <w:r>
              <w:rPr>
                <w:rFonts w:ascii="Aptos" w:hAnsi="Aptos"/>
                <w:b/>
                <w:color w:val="FFFFFF"/>
                <w:sz w:val="17"/>
              </w:rPr>
              <w:t>Milestone</w:t>
            </w:r>
          </w:p>
        </w:tc>
        <w:tc>
          <w:tcPr>
            <w:tcW w:type="dxa" w:w="5083"/>
            <w:shd w:fill="17365D"/>
            <w:tcMar>
              <w:top w:w="70" w:type="dxa"/>
              <w:start w:w="80" w:type="dxa"/>
              <w:bottom w:w="70" w:type="dxa"/>
              <w:end w:w="80" w:type="dxa"/>
            </w:tcMar>
          </w:tcPr>
          <w:p>
            <w:r>
              <w:rPr>
                <w:rFonts w:ascii="Aptos" w:hAnsi="Aptos"/>
                <w:b/>
                <w:color w:val="FFFFFF"/>
                <w:sz w:val="17"/>
              </w:rPr>
              <w:t>Target</w:t>
            </w:r>
          </w:p>
        </w:tc>
      </w:tr>
      <w:tr>
        <w:trPr>
          <w:cantSplit/>
        </w:trPr>
        <w:tc>
          <w:tcPr>
            <w:tcW w:type="dxa" w:w="4896"/>
            <w:tcMar>
              <w:top w:w="70" w:type="dxa"/>
              <w:start w:w="80" w:type="dxa"/>
              <w:bottom w:w="70" w:type="dxa"/>
              <w:end w:w="80" w:type="dxa"/>
            </w:tcMar>
            <w:vAlign w:val="top"/>
          </w:tcPr>
          <w:p>
            <w:pPr>
              <w:spacing w:after="20"/>
            </w:pPr>
            <w:r>
              <w:rPr>
                <w:rFonts w:ascii="Aptos" w:hAnsi="Aptos"/>
                <w:sz w:val="17"/>
              </w:rPr>
              <w:t>SOW Execution / Project Start</w:t>
            </w:r>
          </w:p>
        </w:tc>
        <w:tc>
          <w:tcPr>
            <w:tcW w:type="dxa" w:w="4464"/>
            <w:tcMar>
              <w:top w:w="70" w:type="dxa"/>
              <w:start w:w="80" w:type="dxa"/>
              <w:bottom w:w="70" w:type="dxa"/>
              <w:end w:w="80" w:type="dxa"/>
            </w:tcMar>
            <w:vAlign w:val="top"/>
          </w:tcPr>
          <w:p>
            <w:pPr>
              <w:spacing w:after="20"/>
            </w:pPr>
            <w:r>
              <w:rPr>
                <w:rFonts w:ascii="Aptos" w:hAnsi="Aptos"/>
                <w:sz w:val="17"/>
              </w:rPr>
              <w:t>Upon signature and receipt of initial payment</w:t>
            </w:r>
          </w:p>
        </w:tc>
      </w:tr>
      <w:tr>
        <w:trPr>
          <w:cantSplit/>
        </w:trPr>
        <w:tc>
          <w:tcPr>
            <w:tcW w:type="dxa" w:w="4896"/>
            <w:tcMar>
              <w:top w:w="70" w:type="dxa"/>
              <w:start w:w="80" w:type="dxa"/>
              <w:bottom w:w="70" w:type="dxa"/>
              <w:end w:w="80" w:type="dxa"/>
            </w:tcMar>
            <w:vAlign w:val="top"/>
            <w:shd w:fill="F7F9FC"/>
          </w:tcPr>
          <w:p>
            <w:pPr>
              <w:spacing w:after="20"/>
            </w:pPr>
            <w:r>
              <w:rPr>
                <w:rFonts w:ascii="Aptos" w:hAnsi="Aptos"/>
                <w:sz w:val="17"/>
              </w:rPr>
              <w:t>Kickoff and requirements confirmation</w:t>
            </w:r>
          </w:p>
        </w:tc>
        <w:tc>
          <w:tcPr>
            <w:tcW w:type="dxa" w:w="4464"/>
            <w:tcMar>
              <w:top w:w="70" w:type="dxa"/>
              <w:start w:w="80" w:type="dxa"/>
              <w:bottom w:w="70" w:type="dxa"/>
              <w:end w:w="80" w:type="dxa"/>
            </w:tcMar>
            <w:vAlign w:val="top"/>
            <w:shd w:fill="F7F9FC"/>
          </w:tcPr>
          <w:p>
            <w:pPr>
              <w:spacing w:after="20"/>
            </w:pPr>
            <w:r>
              <w:rPr>
                <w:rFonts w:ascii="Aptos" w:hAnsi="Aptos"/>
                <w:sz w:val="17"/>
              </w:rPr>
              <w:t>Within 5 business days after project start</w:t>
            </w:r>
          </w:p>
        </w:tc>
      </w:tr>
      <w:tr>
        <w:trPr>
          <w:cantSplit/>
        </w:trPr>
        <w:tc>
          <w:tcPr>
            <w:tcW w:type="dxa" w:w="4896"/>
            <w:tcMar>
              <w:top w:w="70" w:type="dxa"/>
              <w:start w:w="80" w:type="dxa"/>
              <w:bottom w:w="70" w:type="dxa"/>
              <w:end w:w="80" w:type="dxa"/>
            </w:tcMar>
            <w:vAlign w:val="top"/>
          </w:tcPr>
          <w:p>
            <w:pPr>
              <w:spacing w:after="20"/>
            </w:pPr>
            <w:r>
              <w:rPr>
                <w:rFonts w:ascii="Aptos" w:hAnsi="Aptos"/>
                <w:sz w:val="17"/>
              </w:rPr>
              <w:t>Stage 1 Beta Delivery</w:t>
            </w:r>
          </w:p>
        </w:tc>
        <w:tc>
          <w:tcPr>
            <w:tcW w:type="dxa" w:w="4464"/>
            <w:tcMar>
              <w:top w:w="70" w:type="dxa"/>
              <w:start w:w="80" w:type="dxa"/>
              <w:bottom w:w="70" w:type="dxa"/>
              <w:end w:w="80" w:type="dxa"/>
            </w:tcMar>
            <w:vAlign w:val="top"/>
          </w:tcPr>
          <w:p>
            <w:pPr>
              <w:spacing w:after="20"/>
            </w:pPr>
            <w:r>
              <w:rPr>
                <w:rFonts w:ascii="Aptos" w:hAnsi="Aptos"/>
                <w:sz w:val="17"/>
              </w:rPr>
              <w:t>November 1, 2026</w:t>
            </w:r>
          </w:p>
        </w:tc>
      </w:tr>
      <w:tr>
        <w:trPr>
          <w:cantSplit/>
        </w:trPr>
        <w:tc>
          <w:tcPr>
            <w:tcW w:type="dxa" w:w="4896"/>
            <w:tcMar>
              <w:top w:w="70" w:type="dxa"/>
              <w:start w:w="80" w:type="dxa"/>
              <w:bottom w:w="70" w:type="dxa"/>
              <w:end w:w="80" w:type="dxa"/>
            </w:tcMar>
            <w:vAlign w:val="top"/>
            <w:shd w:fill="F7F9FC"/>
          </w:tcPr>
          <w:p>
            <w:pPr>
              <w:spacing w:after="20"/>
            </w:pPr>
            <w:r>
              <w:rPr>
                <w:rFonts w:ascii="Aptos" w:hAnsi="Aptos"/>
                <w:sz w:val="17"/>
              </w:rPr>
              <w:t>Client UAT / defect correction</w:t>
            </w:r>
          </w:p>
        </w:tc>
        <w:tc>
          <w:tcPr>
            <w:tcW w:type="dxa" w:w="4464"/>
            <w:tcMar>
              <w:top w:w="70" w:type="dxa"/>
              <w:start w:w="80" w:type="dxa"/>
              <w:bottom w:w="70" w:type="dxa"/>
              <w:end w:w="80" w:type="dxa"/>
            </w:tcMar>
            <w:vAlign w:val="top"/>
            <w:shd w:fill="F7F9FC"/>
          </w:tcPr>
          <w:p>
            <w:pPr>
              <w:spacing w:after="20"/>
            </w:pPr>
            <w:r>
              <w:rPr>
                <w:rFonts w:ascii="Aptos" w:hAnsi="Aptos"/>
                <w:sz w:val="17"/>
              </w:rPr>
              <w:t>November 2026</w:t>
            </w:r>
          </w:p>
        </w:tc>
      </w:tr>
      <w:tr>
        <w:trPr>
          <w:cantSplit/>
        </w:trPr>
        <w:tc>
          <w:tcPr>
            <w:tcW w:type="dxa" w:w="4896"/>
            <w:tcMar>
              <w:top w:w="70" w:type="dxa"/>
              <w:start w:w="80" w:type="dxa"/>
              <w:bottom w:w="70" w:type="dxa"/>
              <w:end w:w="80" w:type="dxa"/>
            </w:tcMar>
            <w:vAlign w:val="top"/>
          </w:tcPr>
          <w:p>
            <w:pPr>
              <w:spacing w:after="20"/>
            </w:pPr>
            <w:r>
              <w:rPr>
                <w:rFonts w:ascii="Aptos" w:hAnsi="Aptos"/>
                <w:sz w:val="17"/>
              </w:rPr>
              <w:t>Production readiness / finalization</w:t>
            </w:r>
          </w:p>
        </w:tc>
        <w:tc>
          <w:tcPr>
            <w:tcW w:type="dxa" w:w="4464"/>
            <w:tcMar>
              <w:top w:w="70" w:type="dxa"/>
              <w:start w:w="80" w:type="dxa"/>
              <w:bottom w:w="70" w:type="dxa"/>
              <w:end w:w="80" w:type="dxa"/>
            </w:tcMar>
            <w:vAlign w:val="top"/>
          </w:tcPr>
          <w:p>
            <w:pPr>
              <w:spacing w:after="20"/>
            </w:pPr>
            <w:r>
              <w:rPr>
                <w:rFonts w:ascii="Aptos" w:hAnsi="Aptos"/>
                <w:sz w:val="17"/>
              </w:rPr>
              <w:t>December 2026</w:t>
            </w:r>
          </w:p>
        </w:tc>
      </w:tr>
      <w:tr>
        <w:trPr>
          <w:cantSplit/>
        </w:trPr>
        <w:tc>
          <w:tcPr>
            <w:tcW w:type="dxa" w:w="4896"/>
            <w:tcMar>
              <w:top w:w="70" w:type="dxa"/>
              <w:start w:w="80" w:type="dxa"/>
              <w:bottom w:w="70" w:type="dxa"/>
              <w:end w:w="80" w:type="dxa"/>
            </w:tcMar>
            <w:vAlign w:val="top"/>
            <w:shd w:fill="F7F9FC"/>
          </w:tcPr>
          <w:p>
            <w:pPr>
              <w:spacing w:after="20"/>
            </w:pPr>
            <w:r>
              <w:rPr>
                <w:rFonts w:ascii="Aptos" w:hAnsi="Aptos"/>
                <w:sz w:val="17"/>
              </w:rPr>
              <w:t>Official Production Launch</w:t>
            </w:r>
          </w:p>
        </w:tc>
        <w:tc>
          <w:tcPr>
            <w:tcW w:type="dxa" w:w="4464"/>
            <w:tcMar>
              <w:top w:w="70" w:type="dxa"/>
              <w:start w:w="80" w:type="dxa"/>
              <w:bottom w:w="70" w:type="dxa"/>
              <w:end w:w="80" w:type="dxa"/>
            </w:tcMar>
            <w:vAlign w:val="top"/>
            <w:shd w:fill="F7F9FC"/>
          </w:tcPr>
          <w:p>
            <w:pPr>
              <w:spacing w:after="20"/>
            </w:pPr>
            <w:r>
              <w:rPr>
                <w:rFonts w:ascii="Aptos" w:hAnsi="Aptos"/>
                <w:sz w:val="17"/>
              </w:rPr>
              <w:t>On or before December 31, 2026</w:t>
            </w:r>
          </w:p>
        </w:tc>
      </w:tr>
    </w:tbl>
    <w:p>
      <w:pPr>
        <w:spacing w:after="20"/>
        <w:widowControl/>
      </w:pPr>
    </w:p>
    <w:p>
      <w:pPr>
        <w:pStyle w:val="Small"/>
        <w:widowControl/>
      </w:pPr>
      <w:r>
        <w:t>Schedule assumes timely Client feedback, content, access, and third-party credentials. Client-caused or third-party delays may shift dependent dates by a corresponding amount.</w:t>
      </w:r>
    </w:p>
    <w:p>
      <w:pPr>
        <w:pStyle w:val="Heading1"/>
        <w:keepNext/>
        <w:keepLines/>
        <w:widowControl/>
      </w:pPr>
      <w:r>
        <w:t>5. Roles and Responsibilities</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5083"/>
            <w:shd w:fill="17365D"/>
            <w:tcMar>
              <w:top w:w="70" w:type="dxa"/>
              <w:start w:w="80" w:type="dxa"/>
              <w:bottom w:w="70" w:type="dxa"/>
              <w:end w:w="80" w:type="dxa"/>
            </w:tcMar>
          </w:tcPr>
          <w:p>
            <w:r>
              <w:rPr>
                <w:rFonts w:ascii="Aptos" w:hAnsi="Aptos"/>
                <w:b/>
                <w:color w:val="FFFFFF"/>
                <w:sz w:val="17"/>
              </w:rPr>
              <w:t>Contractor – Incendio LLC</w:t>
            </w:r>
          </w:p>
        </w:tc>
        <w:tc>
          <w:tcPr>
            <w:tcW w:type="dxa" w:w="5083"/>
            <w:shd w:fill="17365D"/>
            <w:tcMar>
              <w:top w:w="70" w:type="dxa"/>
              <w:start w:w="80" w:type="dxa"/>
              <w:bottom w:w="70" w:type="dxa"/>
              <w:end w:w="80" w:type="dxa"/>
            </w:tcMar>
          </w:tcPr>
          <w:p>
            <w:r>
              <w:rPr>
                <w:rFonts w:ascii="Aptos" w:hAnsi="Aptos"/>
                <w:b/>
                <w:color w:val="FFFFFF"/>
                <w:sz w:val="17"/>
              </w:rPr>
              <w:t>Client – BBW</w:t>
            </w:r>
          </w:p>
        </w:tc>
      </w:tr>
      <w:tr>
        <w:trPr>
          <w:cantSplit/>
        </w:trPr>
        <w:tc>
          <w:tcPr>
            <w:tcW w:type="dxa" w:w="4680"/>
            <w:tcMar>
              <w:top w:w="70" w:type="dxa"/>
              <w:start w:w="80" w:type="dxa"/>
              <w:bottom w:w="70" w:type="dxa"/>
              <w:end w:w="80" w:type="dxa"/>
            </w:tcMar>
            <w:vAlign w:val="top"/>
          </w:tcPr>
          <w:p>
            <w:pPr>
              <w:spacing w:after="20"/>
            </w:pPr>
            <w:r>
              <w:rPr>
                <w:rFonts w:ascii="Aptos" w:hAnsi="Aptos"/>
                <w:sz w:val="17"/>
              </w:rPr>
              <w:t>Manage implementation, development, testing, deployment, and project coordination.</w:t>
            </w:r>
          </w:p>
        </w:tc>
        <w:tc>
          <w:tcPr>
            <w:tcW w:type="dxa" w:w="4680"/>
            <w:tcMar>
              <w:top w:w="70" w:type="dxa"/>
              <w:start w:w="80" w:type="dxa"/>
              <w:bottom w:w="70" w:type="dxa"/>
              <w:end w:w="80" w:type="dxa"/>
            </w:tcMar>
            <w:vAlign w:val="top"/>
          </w:tcPr>
          <w:p>
            <w:pPr>
              <w:spacing w:after="20"/>
            </w:pPr>
            <w:r>
              <w:rPr>
                <w:rFonts w:ascii="Aptos" w:hAnsi="Aptos"/>
                <w:sz w:val="17"/>
              </w:rPr>
              <w:t>Provide one authorized project contact and timely business decisions/approvals.</w:t>
            </w:r>
          </w:p>
        </w:tc>
      </w:tr>
      <w:tr>
        <w:trPr>
          <w:cantSplit/>
        </w:trPr>
        <w:tc>
          <w:tcPr>
            <w:tcW w:type="dxa" w:w="4680"/>
            <w:tcMar>
              <w:top w:w="70" w:type="dxa"/>
              <w:start w:w="80" w:type="dxa"/>
              <w:bottom w:w="70" w:type="dxa"/>
              <w:end w:w="80" w:type="dxa"/>
            </w:tcMar>
            <w:vAlign w:val="top"/>
            <w:shd w:fill="F7F9FC"/>
          </w:tcPr>
          <w:p>
            <w:pPr>
              <w:spacing w:after="20"/>
            </w:pPr>
            <w:r>
              <w:rPr>
                <w:rFonts w:ascii="Aptos" w:hAnsi="Aptos"/>
                <w:sz w:val="17"/>
              </w:rPr>
              <w:t>Configure the in-scope hosting/application environment and integrations.</w:t>
            </w:r>
          </w:p>
        </w:tc>
        <w:tc>
          <w:tcPr>
            <w:tcW w:type="dxa" w:w="4680"/>
            <w:tcMar>
              <w:top w:w="70" w:type="dxa"/>
              <w:start w:w="80" w:type="dxa"/>
              <w:bottom w:w="70" w:type="dxa"/>
              <w:end w:w="80" w:type="dxa"/>
            </w:tcMar>
            <w:vAlign w:val="top"/>
            <w:shd w:fill="F7F9FC"/>
          </w:tcPr>
          <w:p>
            <w:pPr>
              <w:spacing w:after="20"/>
            </w:pPr>
            <w:r>
              <w:rPr>
                <w:rFonts w:ascii="Aptos" w:hAnsi="Aptos"/>
                <w:sz w:val="17"/>
              </w:rPr>
              <w:t>Provide/approve branding, domain details, required copy, company data, community content, and news source/API access when applicable.</w:t>
            </w:r>
          </w:p>
        </w:tc>
      </w:tr>
      <w:tr>
        <w:trPr>
          <w:cantSplit/>
        </w:trPr>
        <w:tc>
          <w:tcPr>
            <w:tcW w:type="dxa" w:w="4680"/>
            <w:tcMar>
              <w:top w:w="70" w:type="dxa"/>
              <w:start w:w="80" w:type="dxa"/>
              <w:bottom w:w="70" w:type="dxa"/>
              <w:end w:w="80" w:type="dxa"/>
            </w:tcMar>
            <w:vAlign w:val="top"/>
          </w:tcPr>
          <w:p>
            <w:pPr>
              <w:spacing w:after="20"/>
            </w:pPr>
            <w:r>
              <w:rPr>
                <w:rFonts w:ascii="Aptos" w:hAnsi="Aptos"/>
                <w:sz w:val="17"/>
              </w:rPr>
              <w:t>Perform reasonable functional testing and correct confirmed in-scope acceptance defects.</w:t>
            </w:r>
          </w:p>
        </w:tc>
        <w:tc>
          <w:tcPr>
            <w:tcW w:type="dxa" w:w="4680"/>
            <w:tcMar>
              <w:top w:w="70" w:type="dxa"/>
              <w:start w:w="80" w:type="dxa"/>
              <w:bottom w:w="70" w:type="dxa"/>
              <w:end w:w="80" w:type="dxa"/>
            </w:tcMar>
            <w:vAlign w:val="top"/>
          </w:tcPr>
          <w:p>
            <w:pPr>
              <w:spacing w:after="20"/>
            </w:pPr>
            <w:r>
              <w:rPr>
                <w:rFonts w:ascii="Aptos" w:hAnsi="Aptos"/>
                <w:sz w:val="17"/>
              </w:rPr>
              <w:t>Review deliverables within the stated acceptance period and provide consolidated feedback.</w:t>
            </w:r>
          </w:p>
        </w:tc>
      </w:tr>
      <w:tr>
        <w:trPr>
          <w:cantSplit/>
        </w:trPr>
        <w:tc>
          <w:tcPr>
            <w:tcW w:type="dxa" w:w="4680"/>
            <w:tcMar>
              <w:top w:w="70" w:type="dxa"/>
              <w:start w:w="80" w:type="dxa"/>
              <w:bottom w:w="70" w:type="dxa"/>
              <w:end w:w="80" w:type="dxa"/>
            </w:tcMar>
            <w:vAlign w:val="top"/>
            <w:shd w:fill="F7F9FC"/>
          </w:tcPr>
          <w:p>
            <w:pPr>
              <w:spacing w:after="20"/>
            </w:pPr>
            <w:r>
              <w:rPr>
                <w:rFonts w:ascii="Aptos" w:hAnsi="Aptos"/>
                <w:sz w:val="17"/>
              </w:rPr>
              <w:t>Protect Client credentials and non-public project information using reasonable safeguards.</w:t>
            </w:r>
          </w:p>
        </w:tc>
        <w:tc>
          <w:tcPr>
            <w:tcW w:type="dxa" w:w="4680"/>
            <w:tcMar>
              <w:top w:w="70" w:type="dxa"/>
              <w:start w:w="80" w:type="dxa"/>
              <w:bottom w:w="70" w:type="dxa"/>
              <w:end w:w="80" w:type="dxa"/>
            </w:tcMar>
            <w:vAlign w:val="top"/>
            <w:shd w:fill="F7F9FC"/>
          </w:tcPr>
          <w:p>
            <w:pPr>
              <w:spacing w:after="20"/>
            </w:pPr>
            <w:r>
              <w:rPr>
                <w:rFonts w:ascii="Aptos" w:hAnsi="Aptos"/>
                <w:sz w:val="17"/>
              </w:rPr>
              <w:t>Confirm that supplied content/data is accurate, lawful, and authorized for use.</w:t>
            </w:r>
          </w:p>
        </w:tc>
      </w:tr>
    </w:tbl>
    <w:p>
      <w:pPr>
        <w:spacing w:after="20"/>
        <w:widowControl/>
      </w:pPr>
    </w:p>
    <w:p>
      <w:pPr>
        <w:pStyle w:val="Heading1"/>
        <w:keepNext/>
        <w:keepLines/>
        <w:widowControl/>
      </w:pPr>
      <w:r>
        <w:t>6. Price and Payment Terms</w:t>
      </w:r>
    </w:p>
    <w:p>
      <w:pPr>
        <w:widowControl/>
      </w:pPr>
      <w:r>
        <w:rPr>
          <w:b/>
        </w:rPr>
        <w:t xml:space="preserve">Fixed Stage 1 implementation price: $5,000. </w:t>
      </w:r>
      <w:r>
        <w:t>The following milestone schedule is adopted for this SOW as a standard fixed-price software implementation structure:</w:t>
      </w:r>
    </w:p>
    <w:tbl>
      <w:tblPr>
        <w:tblStyle w:val="TableGrid"/>
        <w:tblW w:type="auto" w:w="0"/>
        <w:jc w:val="center"/>
        <w:tblLook w:firstColumn="1" w:firstRow="1" w:lastColumn="0" w:lastRow="0" w:noHBand="0" w:noVBand="1" w:val="04A0"/>
      </w:tblPr>
      <w:tblGrid>
        <w:gridCol w:w="1440"/>
        <w:gridCol w:w="5904"/>
        <w:gridCol w:w="2016"/>
      </w:tblGrid>
      <w:tr>
        <w:trPr>
          <w:tblHeader w:val="true"/>
          <w:cantSplit/>
        </w:trPr>
        <w:tc>
          <w:tcPr>
            <w:tcW w:type="dxa" w:w="3389"/>
            <w:shd w:fill="17365D"/>
            <w:tcMar>
              <w:top w:w="70" w:type="dxa"/>
              <w:start w:w="80" w:type="dxa"/>
              <w:bottom w:w="70" w:type="dxa"/>
              <w:end w:w="80" w:type="dxa"/>
            </w:tcMar>
          </w:tcPr>
          <w:p>
            <w:r>
              <w:rPr>
                <w:rFonts w:ascii="Aptos" w:hAnsi="Aptos"/>
                <w:b/>
                <w:color w:val="FFFFFF"/>
                <w:sz w:val="17"/>
              </w:rPr>
              <w:t>Payment</w:t>
            </w:r>
          </w:p>
        </w:tc>
        <w:tc>
          <w:tcPr>
            <w:tcW w:type="dxa" w:w="3389"/>
            <w:shd w:fill="17365D"/>
            <w:tcMar>
              <w:top w:w="70" w:type="dxa"/>
              <w:start w:w="80" w:type="dxa"/>
              <w:bottom w:w="70" w:type="dxa"/>
              <w:end w:w="80" w:type="dxa"/>
            </w:tcMar>
          </w:tcPr>
          <w:p>
            <w:r>
              <w:rPr>
                <w:rFonts w:ascii="Aptos" w:hAnsi="Aptos"/>
                <w:b/>
                <w:color w:val="FFFFFF"/>
                <w:sz w:val="17"/>
              </w:rPr>
              <w:t>Trigger</w:t>
            </w:r>
          </w:p>
        </w:tc>
        <w:tc>
          <w:tcPr>
            <w:tcW w:type="dxa" w:w="3389"/>
            <w:shd w:fill="17365D"/>
            <w:tcMar>
              <w:top w:w="70" w:type="dxa"/>
              <w:start w:w="80" w:type="dxa"/>
              <w:bottom w:w="70" w:type="dxa"/>
              <w:end w:w="80" w:type="dxa"/>
            </w:tcMar>
          </w:tcPr>
          <w:p>
            <w:r>
              <w:rPr>
                <w:rFonts w:ascii="Aptos" w:hAnsi="Aptos"/>
                <w:b/>
                <w:color w:val="FFFFFF"/>
                <w:sz w:val="17"/>
              </w:rPr>
              <w:t>Amount</w:t>
            </w:r>
          </w:p>
        </w:tc>
      </w:tr>
      <w:tr>
        <w:trPr>
          <w:cantSplit/>
        </w:trPr>
        <w:tc>
          <w:tcPr>
            <w:tcW w:type="dxa" w:w="1440"/>
            <w:tcMar>
              <w:top w:w="70" w:type="dxa"/>
              <w:start w:w="80" w:type="dxa"/>
              <w:bottom w:w="70" w:type="dxa"/>
              <w:end w:w="80" w:type="dxa"/>
            </w:tcMar>
            <w:vAlign w:val="top"/>
          </w:tcPr>
          <w:p>
            <w:pPr>
              <w:spacing w:after="20"/>
            </w:pPr>
            <w:r>
              <w:rPr>
                <w:rFonts w:ascii="Aptos" w:hAnsi="Aptos"/>
                <w:sz w:val="17"/>
              </w:rPr>
              <w:t>40%</w:t>
            </w:r>
          </w:p>
        </w:tc>
        <w:tc>
          <w:tcPr>
            <w:tcW w:type="dxa" w:w="5904"/>
            <w:tcMar>
              <w:top w:w="70" w:type="dxa"/>
              <w:start w:w="80" w:type="dxa"/>
              <w:bottom w:w="70" w:type="dxa"/>
              <w:end w:w="80" w:type="dxa"/>
            </w:tcMar>
            <w:vAlign w:val="top"/>
          </w:tcPr>
          <w:p>
            <w:pPr>
              <w:spacing w:after="20"/>
            </w:pPr>
            <w:r>
              <w:rPr>
                <w:rFonts w:ascii="Aptos" w:hAnsi="Aptos"/>
                <w:sz w:val="17"/>
              </w:rPr>
              <w:t>SOW execution / project start</w:t>
            </w:r>
          </w:p>
        </w:tc>
        <w:tc>
          <w:tcPr>
            <w:tcW w:type="dxa" w:w="2016"/>
            <w:tcMar>
              <w:top w:w="70" w:type="dxa"/>
              <w:start w:w="80" w:type="dxa"/>
              <w:bottom w:w="70" w:type="dxa"/>
              <w:end w:w="80" w:type="dxa"/>
            </w:tcMar>
            <w:vAlign w:val="top"/>
          </w:tcPr>
          <w:p>
            <w:pPr>
              <w:spacing w:after="20"/>
            </w:pPr>
            <w:r>
              <w:rPr>
                <w:rFonts w:ascii="Aptos" w:hAnsi="Aptos"/>
                <w:sz w:val="17"/>
              </w:rPr>
              <w:t>$2,000</w:t>
            </w:r>
          </w:p>
        </w:tc>
      </w:tr>
      <w:tr>
        <w:trPr>
          <w:cantSplit/>
        </w:trPr>
        <w:tc>
          <w:tcPr>
            <w:tcW w:type="dxa" w:w="1440"/>
            <w:tcMar>
              <w:top w:w="70" w:type="dxa"/>
              <w:start w:w="80" w:type="dxa"/>
              <w:bottom w:w="70" w:type="dxa"/>
              <w:end w:w="80" w:type="dxa"/>
            </w:tcMar>
            <w:vAlign w:val="top"/>
            <w:shd w:fill="F7F9FC"/>
          </w:tcPr>
          <w:p>
            <w:pPr>
              <w:spacing w:after="20"/>
            </w:pPr>
            <w:r>
              <w:rPr>
                <w:rFonts w:ascii="Aptos" w:hAnsi="Aptos"/>
                <w:sz w:val="17"/>
              </w:rPr>
              <w:t>40%</w:t>
            </w:r>
          </w:p>
        </w:tc>
        <w:tc>
          <w:tcPr>
            <w:tcW w:type="dxa" w:w="5904"/>
            <w:tcMar>
              <w:top w:w="70" w:type="dxa"/>
              <w:start w:w="80" w:type="dxa"/>
              <w:bottom w:w="70" w:type="dxa"/>
              <w:end w:w="80" w:type="dxa"/>
            </w:tcMar>
            <w:vAlign w:val="top"/>
            <w:shd w:fill="F7F9FC"/>
          </w:tcPr>
          <w:p>
            <w:pPr>
              <w:spacing w:after="20"/>
            </w:pPr>
            <w:r>
              <w:rPr>
                <w:rFonts w:ascii="Aptos" w:hAnsi="Aptos"/>
                <w:sz w:val="17"/>
              </w:rPr>
              <w:t>Stage 1 Beta delivery</w:t>
            </w:r>
          </w:p>
        </w:tc>
        <w:tc>
          <w:tcPr>
            <w:tcW w:type="dxa" w:w="2016"/>
            <w:tcMar>
              <w:top w:w="70" w:type="dxa"/>
              <w:start w:w="80" w:type="dxa"/>
              <w:bottom w:w="70" w:type="dxa"/>
              <w:end w:w="80" w:type="dxa"/>
            </w:tcMar>
            <w:vAlign w:val="top"/>
            <w:shd w:fill="F7F9FC"/>
          </w:tcPr>
          <w:p>
            <w:pPr>
              <w:spacing w:after="20"/>
            </w:pPr>
            <w:r>
              <w:rPr>
                <w:rFonts w:ascii="Aptos" w:hAnsi="Aptos"/>
                <w:sz w:val="17"/>
              </w:rPr>
              <w:t>$2,000</w:t>
            </w:r>
          </w:p>
        </w:tc>
      </w:tr>
      <w:tr>
        <w:trPr>
          <w:cantSplit/>
        </w:trPr>
        <w:tc>
          <w:tcPr>
            <w:tcW w:type="dxa" w:w="1440"/>
            <w:tcMar>
              <w:top w:w="70" w:type="dxa"/>
              <w:start w:w="80" w:type="dxa"/>
              <w:bottom w:w="70" w:type="dxa"/>
              <w:end w:w="80" w:type="dxa"/>
            </w:tcMar>
            <w:vAlign w:val="top"/>
          </w:tcPr>
          <w:p>
            <w:pPr>
              <w:spacing w:after="20"/>
            </w:pPr>
            <w:r>
              <w:rPr>
                <w:rFonts w:ascii="Aptos" w:hAnsi="Aptos"/>
                <w:sz w:val="17"/>
              </w:rPr>
              <w:t>20%</w:t>
            </w:r>
          </w:p>
        </w:tc>
        <w:tc>
          <w:tcPr>
            <w:tcW w:type="dxa" w:w="5904"/>
            <w:tcMar>
              <w:top w:w="70" w:type="dxa"/>
              <w:start w:w="80" w:type="dxa"/>
              <w:bottom w:w="70" w:type="dxa"/>
              <w:end w:w="80" w:type="dxa"/>
            </w:tcMar>
            <w:vAlign w:val="top"/>
          </w:tcPr>
          <w:p>
            <w:pPr>
              <w:spacing w:after="20"/>
            </w:pPr>
            <w:r>
              <w:rPr>
                <w:rFonts w:ascii="Aptos" w:hAnsi="Aptos"/>
                <w:sz w:val="17"/>
              </w:rPr>
              <w:t>Production launch / final acceptance</w:t>
            </w:r>
          </w:p>
        </w:tc>
        <w:tc>
          <w:tcPr>
            <w:tcW w:type="dxa" w:w="2016"/>
            <w:tcMar>
              <w:top w:w="70" w:type="dxa"/>
              <w:start w:w="80" w:type="dxa"/>
              <w:bottom w:w="70" w:type="dxa"/>
              <w:end w:w="80" w:type="dxa"/>
            </w:tcMar>
            <w:vAlign w:val="top"/>
          </w:tcPr>
          <w:p>
            <w:pPr>
              <w:spacing w:after="20"/>
            </w:pPr>
            <w:r>
              <w:rPr>
                <w:rFonts w:ascii="Aptos" w:hAnsi="Aptos"/>
                <w:sz w:val="17"/>
              </w:rPr>
              <w:t>$1,000</w:t>
            </w:r>
          </w:p>
        </w:tc>
      </w:tr>
    </w:tbl>
    <w:p>
      <w:pPr>
        <w:spacing w:after="20"/>
        <w:widowControl/>
      </w:pPr>
    </w:p>
    <w:p>
      <w:pPr>
        <w:widowControl/>
      </w:pPr>
      <w:r>
        <w:rPr>
          <w:b/>
        </w:rPr>
        <w:t xml:space="preserve">Invoices are due Net 15. </w:t>
      </w:r>
      <w:r>
        <w:t>Third-party charges such as cloud hosting, domain registration, paid APIs/news services, commercial licenses, and usage-based services are not included unless expressly stated in writing and are paid by Client or reimbursed at cost.</w:t>
      </w:r>
    </w:p>
    <w:p>
      <w:pPr>
        <w:pStyle w:val="Heading1"/>
        <w:keepNext/>
        <w:keepLines/>
        <w:widowControl/>
      </w:pPr>
      <w:r>
        <w:t>7. Assumptions, Exclusions, and Change Control</w:t>
      </w:r>
    </w:p>
    <w:p>
      <w:pPr>
        <w:widowControl/>
      </w:pPr>
      <w:r>
        <w:rPr>
          <w:b/>
        </w:rPr>
        <w:t xml:space="preserve">Key assumptions. </w:t>
      </w:r>
    </w:p>
    <w:p>
      <w:pPr>
        <w:pStyle w:val="ListBullet"/>
        <w:spacing w:after="30"/>
        <w:ind w:left="259"/>
        <w:widowControl/>
      </w:pPr>
      <w:r>
        <w:t>One BBW web application and one production deployment are included; separate white-label sites, additional tenants, or branded portals are not included.</w:t>
      </w:r>
    </w:p>
    <w:p>
      <w:pPr>
        <w:pStyle w:val="ListBullet"/>
        <w:spacing w:after="30"/>
        <w:ind w:left="259"/>
        <w:widowControl/>
      </w:pPr>
      <w:r>
        <w:t>Contractor may use commercially reasonable open-source libraries, cloud services, and development frameworks appropriate for an MVP.</w:t>
      </w:r>
    </w:p>
    <w:p>
      <w:pPr>
        <w:pStyle w:val="ListBullet"/>
        <w:spacing w:after="30"/>
        <w:ind w:left="259"/>
        <w:widowControl/>
      </w:pPr>
      <w:r>
        <w:t>Client feedback, content, credentials, and approvals will be provided without unreasonable delay.</w:t>
      </w:r>
    </w:p>
    <w:p>
      <w:pPr>
        <w:pStyle w:val="ListBullet"/>
        <w:spacing w:after="30"/>
        <w:ind w:left="259"/>
        <w:widowControl/>
      </w:pPr>
      <w:r>
        <w:t>The news feed is limited to one agreed source/integration for Stage 1.</w:t>
      </w:r>
    </w:p>
    <w:p>
      <w:pPr>
        <w:pStyle w:val="ListBullet"/>
        <w:spacing w:after="30"/>
        <w:ind w:left="259"/>
        <w:widowControl/>
      </w:pPr>
      <w:r>
        <w:t>Ongoing maintenance, feature development, content operations, and service-level support after the warranty period require a separate support arrangement.</w:t>
      </w:r>
    </w:p>
    <w:p>
      <w:pPr>
        <w:widowControl/>
      </w:pPr>
      <w:r>
        <w:rPr>
          <w:b/>
        </w:rPr>
        <w:t xml:space="preserve">Explicitly out of scope. </w:t>
      </w:r>
      <w:r>
        <w:t>The following are excluded from the $5,000 Stage 1 package unless separately approved:</w:t>
      </w:r>
    </w:p>
    <w:p>
      <w:pPr>
        <w:pStyle w:val="ListBullet"/>
        <w:spacing w:after="30"/>
        <w:ind w:left="259"/>
        <w:widowControl/>
      </w:pPr>
      <w:r>
        <w:t>Interactive Resource Vault and Multi-Tenant Organization Switcher.</w:t>
      </w:r>
    </w:p>
    <w:p>
      <w:pPr>
        <w:pStyle w:val="ListBullet"/>
        <w:spacing w:after="30"/>
        <w:ind w:left="259"/>
        <w:widowControl/>
      </w:pPr>
      <w:r>
        <w:t>Paid membership/billing, Stripe, subscriptions, paywalls, or tiered access.</w:t>
      </w:r>
    </w:p>
    <w:p>
      <w:pPr>
        <w:pStyle w:val="ListBullet"/>
        <w:spacing w:after="30"/>
        <w:ind w:left="259"/>
        <w:widowControl/>
      </w:pPr>
      <w:r>
        <w:t>RAG, vectorization, proprietary document ingestion, advanced AI memory/routing, or personalized AI news.</w:t>
      </w:r>
    </w:p>
    <w:p>
      <w:pPr>
        <w:pStyle w:val="ListBullet"/>
        <w:spacing w:after="30"/>
        <w:ind w:left="259"/>
        <w:widowControl/>
      </w:pPr>
      <w:r>
        <w:t>Task/Kanban workflow engine, automatic task creation, proactive monitoring, investor report generation, CRM, or automated email outreach.</w:t>
      </w:r>
    </w:p>
    <w:p>
      <w:pPr>
        <w:pStyle w:val="ListBullet"/>
        <w:spacing w:after="30"/>
        <w:ind w:left="259"/>
        <w:widowControl/>
      </w:pPr>
      <w:r>
        <w:t>Interactive community messaging, custom group creation, or algorithmic founder matching.</w:t>
      </w:r>
    </w:p>
    <w:p>
      <w:pPr>
        <w:pStyle w:val="ListBullet"/>
        <w:spacing w:after="30"/>
        <w:ind w:left="259"/>
        <w:widowControl/>
      </w:pPr>
      <w:r>
        <w:t>Native mobile apps, unspecified legacy-data migration, custom analytics/BI, or integrations not listed in Section 2.</w:t>
      </w:r>
    </w:p>
    <w:p>
      <w:pPr>
        <w:pStyle w:val="ListBullet"/>
        <w:spacing w:after="30"/>
        <w:ind w:left="259"/>
        <w:widowControl/>
      </w:pPr>
      <w:r>
        <w:t>Formal penetration testing, SOC 2/HIPAA/GxP or other certification/attestation work, or legal/regulatory compliance consulting.</w:t>
      </w:r>
    </w:p>
    <w:p>
      <w:pPr>
        <w:widowControl/>
      </w:pPr>
      <w:r>
        <w:rPr>
          <w:b/>
        </w:rPr>
        <w:t xml:space="preserve">Change Control. </w:t>
      </w:r>
      <w:r>
        <w:t>Any request that materially changes scope, integrations, deliverables, schedule, environments, or acceptance criteria will be documented by Contractor with the expected price and schedule impact. No material out-of-scope work is required until both parties approve the change in writing, including by email.</w:t>
      </w:r>
    </w:p>
    <w:p>
      <w:pPr>
        <w:pStyle w:val="Heading1"/>
        <w:keepNext/>
        <w:keepLines/>
        <w:widowControl/>
      </w:pPr>
      <w:r>
        <w:t>8. Standard Project Terms</w:t>
      </w:r>
    </w:p>
    <w:p>
      <w:pPr>
        <w:pStyle w:val="Heading2"/>
        <w:keepNext/>
        <w:keepLines/>
        <w:widowControl/>
      </w:pPr>
      <w:r>
        <w:t>8.1 Intellectual Property and Client Data</w:t>
      </w:r>
    </w:p>
    <w:p>
      <w:pPr>
        <w:widowControl/>
      </w:pPr>
      <w:r>
        <w:rPr>
          <w:b/>
        </w:rPr>
        <w:t xml:space="preserve">Upon full payment, Client will own the project-specific custom source code and deliverables created specifically for this Stage 1 project. </w:t>
      </w:r>
      <w:r>
        <w:t>Contractor retains ownership of its pre-existing tools, reusable libraries, templates, general know-how, and development methods. To the extent Contractor pre-existing material is embedded in the deliverable, Client receives a perpetual license to use it as part of the delivered BBW application. Open-source and third-party components remain subject to their applicable licenses. Client retains ownership of Client-provided data, content, trademarks, and branding.</w:t>
      </w:r>
    </w:p>
    <w:p>
      <w:pPr>
        <w:pStyle w:val="Heading2"/>
        <w:keepNext/>
        <w:keepLines/>
        <w:widowControl/>
      </w:pPr>
      <w:r>
        <w:t>8.2 Confidentiality and Security</w:t>
      </w:r>
    </w:p>
    <w:p>
      <w:pPr>
        <w:widowControl/>
      </w:pPr>
      <w:r>
        <w:rPr>
          <w:b/>
        </w:rPr>
        <w:t xml:space="preserve">Each party will use reasonable care to protect the other party’s non-public business, technical, financial, and customer information and will use such information only for the project. </w:t>
      </w:r>
      <w:r>
        <w:t>Stage 1 will use baseline web-application security practices appropriate for an MVP, including authenticated access to protected areas, HTTPS in production where supported by the hosting environment, reasonable credential/secret handling, and restricted administrative access. Formal security certifications or regulatory compliance programs are not included.</w:t>
      </w:r>
    </w:p>
    <w:p>
      <w:pPr>
        <w:pStyle w:val="Heading2"/>
        <w:keepNext/>
        <w:keepLines/>
        <w:widowControl/>
      </w:pPr>
      <w:r>
        <w:t>8.3 Warranty and Post-Launch Support</w:t>
      </w:r>
    </w:p>
    <w:p>
      <w:pPr>
        <w:widowControl/>
      </w:pPr>
      <w:r>
        <w:rPr>
          <w:b/>
        </w:rPr>
        <w:t xml:space="preserve">Contractor provides a 30-calendar-day defect warranty after production launch. </w:t>
      </w:r>
      <w:r>
        <w:t>During this period, Contractor will correct reproducible defects that cause an accepted in-scope feature to materially fail to conform to this SOW at no additional implementation charge. The warranty does not cover new features, Client or third-party changes, unsupported modifications, third-party outages, or new browser/service behavior introduced after launch. Ongoing support or enhancements after the warranty period require a separate agreement or change order.</w:t>
      </w:r>
    </w:p>
    <w:p>
      <w:pPr>
        <w:pStyle w:val="Heading2"/>
        <w:keepNext/>
        <w:keepLines/>
        <w:widowControl/>
      </w:pPr>
      <w:r>
        <w:t>8.4 Term and Termination</w:t>
      </w:r>
    </w:p>
    <w:p>
      <w:pPr>
        <w:widowControl/>
      </w:pPr>
      <w:r>
        <w:rPr>
          <w:b/>
        </w:rPr>
        <w:t xml:space="preserve">This SOW begins on the Effective Date and continues through completion unless terminated earlier. </w:t>
      </w:r>
      <w:r>
        <w:t>Either party may terminate for a material breach that remains uncured for ten (10) business days after written notice. Client may also terminate for convenience with ten (10) business days’ written notice; Client remains responsible for completed milestones, work reasonably performed toward the active milestone, and non-cancelable third-party commitments, not to exceed the total SOW price. Contractor may suspend work for invoices more than ten (10) days past due after written notice.</w:t>
      </w:r>
    </w:p>
    <w:p>
      <w:pPr>
        <w:pStyle w:val="Heading2"/>
        <w:keepNext/>
        <w:keepLines/>
        <w:widowControl/>
      </w:pPr>
      <w:r>
        <w:t>8.5 Contract Administration</w:t>
      </w:r>
    </w:p>
    <w:p>
      <w:pPr>
        <w:widowControl/>
      </w:pPr>
      <w:r>
        <w:rPr>
          <w:b/>
        </w:rPr>
        <w:t xml:space="preserve">Project notices and approvals may be made by email by the parties’ designated project contacts. </w:t>
      </w:r>
      <w:r>
        <w:t>If the parties execute a separate MSA or Services Agreement, that agreement controls general legal provisions such as governing law, indemnity, insurance, and limitations of liability. This SOW controls the specific Stage 1 scope, schedule, deliverables, and price unless the governing agreement expressly states otherwise.</w:t>
      </w:r>
    </w:p>
    <w:p>
      <w:pPr>
        <w:pStyle w:val="Heading1"/>
        <w:keepNext/>
        <w:keepLines/>
        <w:widowControl/>
      </w:pPr>
      <w:r>
        <w:t>9. Authorization</w:t>
      </w:r>
    </w:p>
    <w:p>
      <w:pPr>
        <w:widowControl/>
      </w:pPr>
      <w:r>
        <w:t>By signing below, the parties authorize the Stage 1 work described in this SOW and agree to the scope, schedule, acceptance process, pricing, assumptions, exclusions, and standard project terms stated above.</w:t>
      </w:r>
    </w:p>
    <w:p>
      <w:pPr>
        <w:spacing w:after="80"/>
        <w:widowControl/>
      </w:pP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5083"/>
            <w:shd w:fill="17365D"/>
            <w:tcMar>
              <w:top w:w="70" w:type="dxa"/>
              <w:start w:w="80" w:type="dxa"/>
              <w:bottom w:w="70" w:type="dxa"/>
              <w:end w:w="80" w:type="dxa"/>
            </w:tcMar>
          </w:tcPr>
          <w:p>
            <w:r>
              <w:rPr>
                <w:rFonts w:ascii="Aptos" w:hAnsi="Aptos"/>
                <w:b/>
                <w:color w:val="FFFFFF"/>
                <w:sz w:val="17"/>
              </w:rPr>
              <w:t>CONTRACTOR</w:t>
            </w:r>
          </w:p>
        </w:tc>
        <w:tc>
          <w:tcPr>
            <w:tcW w:type="dxa" w:w="5083"/>
            <w:shd w:fill="17365D"/>
            <w:tcMar>
              <w:top w:w="70" w:type="dxa"/>
              <w:start w:w="80" w:type="dxa"/>
              <w:bottom w:w="70" w:type="dxa"/>
              <w:end w:w="80" w:type="dxa"/>
            </w:tcMar>
          </w:tcPr>
          <w:p>
            <w:r>
              <w:rPr>
                <w:rFonts w:ascii="Aptos" w:hAnsi="Aptos"/>
                <w:b/>
                <w:color w:val="FFFFFF"/>
                <w:sz w:val="17"/>
              </w:rPr>
              <w:t>CLIENT</w:t>
            </w:r>
          </w:p>
        </w:tc>
      </w:tr>
      <w:tr>
        <w:trPr>
          <w:cantSplit/>
        </w:trPr>
        <w:tc>
          <w:tcPr>
            <w:tcW w:type="dxa" w:w="4680"/>
            <w:tcMar>
              <w:top w:w="70" w:type="dxa"/>
              <w:start w:w="80" w:type="dxa"/>
              <w:bottom w:w="70" w:type="dxa"/>
              <w:end w:w="80" w:type="dxa"/>
            </w:tcMar>
            <w:vAlign w:val="top"/>
            <w:shd w:fill="EAF0F8"/>
          </w:tcPr>
          <w:p>
            <w:pPr>
              <w:spacing w:after="20"/>
            </w:pPr>
            <w:r>
              <w:rPr>
                <w:rFonts w:ascii="Aptos" w:hAnsi="Aptos"/>
                <w:sz w:val="17"/>
              </w:rPr>
              <w:t>Incendio LLC</w:t>
            </w:r>
          </w:p>
        </w:tc>
        <w:tc>
          <w:tcPr>
            <w:tcW w:type="dxa" w:w="4680"/>
            <w:tcMar>
              <w:top w:w="70" w:type="dxa"/>
              <w:start w:w="80" w:type="dxa"/>
              <w:bottom w:w="70" w:type="dxa"/>
              <w:end w:w="80" w:type="dxa"/>
            </w:tcMar>
            <w:vAlign w:val="top"/>
            <w:shd w:fill="EAF0F8"/>
          </w:tcPr>
          <w:p>
            <w:pPr>
              <w:spacing w:after="20"/>
            </w:pPr>
            <w:r>
              <w:rPr>
                <w:rFonts w:ascii="Aptos" w:hAnsi="Aptos"/>
                <w:sz w:val="17"/>
              </w:rPr>
              <w:t>BBW / Legal Entity: __________________________</w:t>
            </w:r>
          </w:p>
        </w:tc>
      </w:tr>
      <w:tr>
        <w:trPr>
          <w:cantSplit/>
        </w:trPr>
        <w:tc>
          <w:tcPr>
            <w:tcW w:type="dxa" w:w="4680"/>
            <w:tcMar>
              <w:top w:w="70" w:type="dxa"/>
              <w:start w:w="80" w:type="dxa"/>
              <w:bottom w:w="70" w:type="dxa"/>
              <w:end w:w="80" w:type="dxa"/>
            </w:tcMar>
            <w:vAlign w:val="top"/>
            <w:shd w:fill="F7F9FC"/>
          </w:tcPr>
          <w:p>
            <w:pPr>
              <w:spacing w:after="20"/>
            </w:pPr>
            <w:r>
              <w:rPr>
                <w:rFonts w:ascii="Aptos" w:hAnsi="Aptos"/>
                <w:sz w:val="17"/>
              </w:rPr>
              <w:t>By: __________________________________</w:t>
            </w:r>
          </w:p>
        </w:tc>
        <w:tc>
          <w:tcPr>
            <w:tcW w:type="dxa" w:w="4680"/>
            <w:tcMar>
              <w:top w:w="70" w:type="dxa"/>
              <w:start w:w="80" w:type="dxa"/>
              <w:bottom w:w="70" w:type="dxa"/>
              <w:end w:w="80" w:type="dxa"/>
            </w:tcMar>
            <w:vAlign w:val="top"/>
            <w:shd w:fill="F7F9FC"/>
          </w:tcPr>
          <w:p>
            <w:pPr>
              <w:spacing w:after="20"/>
            </w:pPr>
            <w:r>
              <w:rPr>
                <w:rFonts w:ascii="Aptos" w:hAnsi="Aptos"/>
                <w:sz w:val="17"/>
              </w:rPr>
              <w:t>By: __________________________________</w:t>
            </w:r>
          </w:p>
        </w:tc>
      </w:tr>
      <w:tr>
        <w:trPr>
          <w:cantSplit/>
        </w:trPr>
        <w:tc>
          <w:tcPr>
            <w:tcW w:type="dxa" w:w="4680"/>
            <w:tcMar>
              <w:top w:w="70" w:type="dxa"/>
              <w:start w:w="80" w:type="dxa"/>
              <w:bottom w:w="70" w:type="dxa"/>
              <w:end w:w="80" w:type="dxa"/>
            </w:tcMar>
            <w:vAlign w:val="top"/>
          </w:tcPr>
          <w:p>
            <w:pPr>
              <w:spacing w:after="20"/>
            </w:pPr>
            <w:r>
              <w:rPr>
                <w:rFonts w:ascii="Aptos" w:hAnsi="Aptos"/>
                <w:sz w:val="17"/>
              </w:rPr>
              <w:t>Name: Cindy Zhang</w:t>
            </w:r>
          </w:p>
        </w:tc>
        <w:tc>
          <w:tcPr>
            <w:tcW w:type="dxa" w:w="4680"/>
            <w:tcMar>
              <w:top w:w="70" w:type="dxa"/>
              <w:start w:w="80" w:type="dxa"/>
              <w:bottom w:w="70" w:type="dxa"/>
              <w:end w:w="80" w:type="dxa"/>
            </w:tcMar>
            <w:vAlign w:val="top"/>
          </w:tcPr>
          <w:p>
            <w:pPr>
              <w:spacing w:after="20"/>
            </w:pPr>
            <w:r>
              <w:rPr>
                <w:rFonts w:ascii="Aptos" w:hAnsi="Aptos"/>
                <w:sz w:val="17"/>
              </w:rPr>
              <w:t>Name: _________________________________</w:t>
            </w:r>
          </w:p>
        </w:tc>
      </w:tr>
      <w:tr>
        <w:trPr>
          <w:cantSplit/>
        </w:trPr>
        <w:tc>
          <w:tcPr>
            <w:tcW w:type="dxa" w:w="4680"/>
            <w:tcMar>
              <w:top w:w="70" w:type="dxa"/>
              <w:start w:w="80" w:type="dxa"/>
              <w:bottom w:w="70" w:type="dxa"/>
              <w:end w:w="80" w:type="dxa"/>
            </w:tcMar>
            <w:vAlign w:val="top"/>
            <w:shd w:fill="F7F9FC"/>
          </w:tcPr>
          <w:p>
            <w:pPr>
              <w:spacing w:after="20"/>
            </w:pPr>
            <w:r>
              <w:rPr>
                <w:rFonts w:ascii="Aptos" w:hAnsi="Aptos"/>
                <w:sz w:val="17"/>
              </w:rPr>
              <w:t>Title: Managing Member</w:t>
            </w:r>
          </w:p>
        </w:tc>
        <w:tc>
          <w:tcPr>
            <w:tcW w:type="dxa" w:w="4680"/>
            <w:tcMar>
              <w:top w:w="70" w:type="dxa"/>
              <w:start w:w="80" w:type="dxa"/>
              <w:bottom w:w="70" w:type="dxa"/>
              <w:end w:w="80" w:type="dxa"/>
            </w:tcMar>
            <w:vAlign w:val="top"/>
            <w:shd w:fill="F7F9FC"/>
          </w:tcPr>
          <w:p>
            <w:pPr>
              <w:spacing w:after="20"/>
            </w:pPr>
            <w:r>
              <w:rPr>
                <w:rFonts w:ascii="Aptos" w:hAnsi="Aptos"/>
                <w:sz w:val="17"/>
              </w:rPr>
              <w:t>Title: __________________________________</w:t>
            </w:r>
          </w:p>
        </w:tc>
      </w:tr>
      <w:tr>
        <w:trPr>
          <w:cantSplit/>
        </w:trPr>
        <w:tc>
          <w:tcPr>
            <w:tcW w:type="dxa" w:w="4680"/>
            <w:tcMar>
              <w:top w:w="70" w:type="dxa"/>
              <w:start w:w="80" w:type="dxa"/>
              <w:bottom w:w="70" w:type="dxa"/>
              <w:end w:w="80" w:type="dxa"/>
            </w:tcMar>
            <w:vAlign w:val="top"/>
          </w:tcPr>
          <w:p>
            <w:pPr>
              <w:spacing w:after="20"/>
            </w:pPr>
            <w:r>
              <w:rPr>
                <w:rFonts w:ascii="Aptos" w:hAnsi="Aptos"/>
                <w:sz w:val="17"/>
              </w:rPr>
              <w:t>Date: __________________________________</w:t>
            </w:r>
          </w:p>
        </w:tc>
        <w:tc>
          <w:tcPr>
            <w:tcW w:type="dxa" w:w="4680"/>
            <w:tcMar>
              <w:top w:w="70" w:type="dxa"/>
              <w:start w:w="80" w:type="dxa"/>
              <w:bottom w:w="70" w:type="dxa"/>
              <w:end w:w="80" w:type="dxa"/>
            </w:tcMar>
            <w:vAlign w:val="top"/>
          </w:tcPr>
          <w:p>
            <w:pPr>
              <w:spacing w:after="20"/>
            </w:pPr>
            <w:r>
              <w:rPr>
                <w:rFonts w:ascii="Aptos" w:hAnsi="Aptos"/>
                <w:sz w:val="17"/>
              </w:rPr>
              <w:t>Date: __________________________________</w:t>
            </w:r>
          </w:p>
        </w:tc>
      </w:tr>
    </w:tbl>
    <w:p>
      <w:pPr>
        <w:spacing w:after="20"/>
        <w:widowControl/>
      </w:pPr>
    </w:p>
    <w:p>
      <w:pPr>
        <w:pStyle w:val="Small"/>
        <w:widowControl/>
      </w:pPr>
      <w:r>
        <w:t>Document note: This concise SOW incorporates customary small-project software implementation terms for payment, acceptance, IP handoff, warranty, change control, and termination where the source proposal did not specify them. The parties may revise these terms by written agreement before signature.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 SOW BBW-S1-001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BBW Platform | Stage 1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color w:val="666666"/>
      <w:sz w:val="16"/>
    </w:rPr>
  </w:style>
  <w:style w:type="paragraph" w:customStyle="1" w:styleId="Callout">
    <w:name w:val="Callout"/>
    <w:pPr>
      <w:spacing w:after="80"/>
    </w:pPr>
    <w:rPr>
      <w:rFonts w:ascii="Aptos" w:hAnsi="Aptos"/>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BBW Platform - Stage 1 Statement of Work</dc:title>
  <dc:subject>Stage 1 Foundational Launch Package (Basic MVP)</dc:subject>
  <dc:creator>Incendio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