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80"/>
      </w:pPr>
      <w:r>
        <w:rPr>
          <w:rFonts w:ascii="Calibri" w:hAnsi="Calibri"/>
          <w:b/>
          <w:color w:val="0B2545"/>
          <w:sz w:val="46"/>
        </w:rPr>
        <w:t>ASSET OWNERSHIP AND PROVENANCE STATEMENT</w:t>
      </w:r>
    </w:p>
    <w:p>
      <w:pPr>
        <w:spacing w:after="320"/>
      </w:pPr>
      <w:r>
        <w:rPr>
          <w:rFonts w:ascii="Calibri" w:hAnsi="Calibri"/>
          <w:b w:val="0"/>
          <w:color w:val="5A6470"/>
          <w:sz w:val="26"/>
        </w:rPr>
        <w:t>Evidence-backed declaration for AI-assisted visual and type assets</w:t>
      </w:r>
    </w:p>
    <w:tbl>
      <w:tblPr>
        <w:tblW w:type="dxa" w:w="9360"/>
        <w:jc w:val="left"/>
        <w:tblLayout w:type="fixed"/>
        <w:tblLook w:firstColumn="1" w:firstRow="1" w:lastColumn="0" w:lastRow="0" w:noHBand="0" w:noVBand="1" w:val="04A0"/>
        <w:tblInd w:w="120" w:type="dxa"/>
      </w:tblPr>
      <w:tblGrid>
        <w:gridCol w:w="1800"/>
        <w:gridCol w:w="7560"/>
      </w:tblGrid>
      <w:tr>
        <w:tc>
          <w:tcPr>
            <w:tcW w:type="dxa" w:w="1800"/>
            <w:shd w:fill="F2F4F7"/>
            <w:tcMar>
              <w:top w:w="80" w:type="dxa"/>
              <w:start w:w="120" w:type="dxa"/>
              <w:bottom w:w="80" w:type="dxa"/>
              <w:end w:w="120" w:type="dxa"/>
            </w:tcMar>
            <w:vAlign w:val="center"/>
          </w:tcPr>
          <w:p>
            <w:r>
              <w:rPr>
                <w:rFonts w:ascii="Calibri" w:hAnsi="Calibri"/>
                <w:b/>
                <w:color w:val="0B2545"/>
                <w:sz w:val="19"/>
              </w:rPr>
              <w:t>Project</w:t>
            </w:r>
          </w:p>
        </w:tc>
        <w:tc>
          <w:tcPr>
            <w:tcW w:type="dxa" w:w="7560"/>
            <w:tcMar>
              <w:top w:w="80" w:type="dxa"/>
              <w:start w:w="120" w:type="dxa"/>
              <w:bottom w:w="80" w:type="dxa"/>
              <w:end w:w="120" w:type="dxa"/>
            </w:tcMar>
            <w:vAlign w:val="center"/>
          </w:tcPr>
          <w:p>
            <w:r>
              <w:rPr>
                <w:rFonts w:ascii="Calibri" w:hAnsi="Calibri"/>
                <w:b w:val="0"/>
                <w:sz w:val="19"/>
              </w:rPr>
              <w:t>Galactic Gunners</w:t>
            </w:r>
          </w:p>
        </w:tc>
      </w:tr>
      <w:tr>
        <w:tc>
          <w:tcPr>
            <w:tcW w:type="dxa" w:w="1800"/>
            <w:shd w:fill="F2F4F7"/>
            <w:tcMar>
              <w:top w:w="80" w:type="dxa"/>
              <w:start w:w="120" w:type="dxa"/>
              <w:bottom w:w="80" w:type="dxa"/>
              <w:end w:w="120" w:type="dxa"/>
            </w:tcMar>
            <w:vAlign w:val="center"/>
          </w:tcPr>
          <w:p>
            <w:r>
              <w:rPr>
                <w:rFonts w:ascii="Calibri" w:hAnsi="Calibri"/>
                <w:b/>
                <w:color w:val="0B2545"/>
                <w:sz w:val="19"/>
              </w:rPr>
              <w:t>Prepared for</w:t>
            </w:r>
          </w:p>
        </w:tc>
        <w:tc>
          <w:tcPr>
            <w:tcW w:type="dxa" w:w="7560"/>
            <w:tcMar>
              <w:top w:w="80" w:type="dxa"/>
              <w:start w:w="120" w:type="dxa"/>
              <w:bottom w:w="80" w:type="dxa"/>
              <w:end w:w="120" w:type="dxa"/>
            </w:tcMar>
            <w:vAlign w:val="center"/>
          </w:tcPr>
          <w:p>
            <w:r>
              <w:rPr>
                <w:rFonts w:ascii="Calibri" w:hAnsi="Calibri"/>
                <w:b w:val="0"/>
                <w:sz w:val="19"/>
              </w:rPr>
              <w:t>Michael Leese / Galactic Gunners project</w:t>
            </w:r>
          </w:p>
        </w:tc>
      </w:tr>
      <w:tr>
        <w:tc>
          <w:tcPr>
            <w:tcW w:type="dxa" w:w="1800"/>
            <w:shd w:fill="F2F4F7"/>
            <w:tcMar>
              <w:top w:w="80" w:type="dxa"/>
              <w:start w:w="120" w:type="dxa"/>
              <w:bottom w:w="80" w:type="dxa"/>
              <w:end w:w="120" w:type="dxa"/>
            </w:tcMar>
            <w:vAlign w:val="center"/>
          </w:tcPr>
          <w:p>
            <w:r>
              <w:rPr>
                <w:rFonts w:ascii="Calibri" w:hAnsi="Calibri"/>
                <w:b/>
                <w:color w:val="0B2545"/>
                <w:sz w:val="19"/>
              </w:rPr>
              <w:t>Rights holder</w:t>
            </w:r>
          </w:p>
        </w:tc>
        <w:tc>
          <w:tcPr>
            <w:tcW w:type="dxa" w:w="7560"/>
            <w:tcMar>
              <w:top w:w="80" w:type="dxa"/>
              <w:start w:w="120" w:type="dxa"/>
              <w:bottom w:w="80" w:type="dxa"/>
              <w:end w:w="120" w:type="dxa"/>
            </w:tcMar>
            <w:vAlign w:val="center"/>
          </w:tcPr>
          <w:p>
            <w:r>
              <w:rPr>
                <w:rFonts w:ascii="Calibri" w:hAnsi="Calibri"/>
                <w:b w:val="0"/>
                <w:sz w:val="19"/>
              </w:rPr>
              <w:t>[INSERT FINAL LEGAL RIGHTS-HOLDER NAME]</w:t>
            </w:r>
          </w:p>
        </w:tc>
      </w:tr>
      <w:tr>
        <w:tc>
          <w:tcPr>
            <w:tcW w:type="dxa" w:w="1800"/>
            <w:shd w:fill="F2F4F7"/>
            <w:tcMar>
              <w:top w:w="80" w:type="dxa"/>
              <w:start w:w="120" w:type="dxa"/>
              <w:bottom w:w="80" w:type="dxa"/>
              <w:end w:w="120" w:type="dxa"/>
            </w:tcMar>
            <w:vAlign w:val="center"/>
          </w:tcPr>
          <w:p>
            <w:r>
              <w:rPr>
                <w:rFonts w:ascii="Calibri" w:hAnsi="Calibri"/>
                <w:b/>
                <w:color w:val="0B2545"/>
                <w:sz w:val="19"/>
              </w:rPr>
              <w:t>Effective date</w:t>
            </w:r>
          </w:p>
        </w:tc>
        <w:tc>
          <w:tcPr>
            <w:tcW w:type="dxa" w:w="7560"/>
            <w:tcMar>
              <w:top w:w="80" w:type="dxa"/>
              <w:start w:w="120" w:type="dxa"/>
              <w:bottom w:w="80" w:type="dxa"/>
              <w:end w:w="120" w:type="dxa"/>
            </w:tcMar>
            <w:vAlign w:val="center"/>
          </w:tcPr>
          <w:p>
            <w:r>
              <w:rPr>
                <w:rFonts w:ascii="Calibri" w:hAnsi="Calibri"/>
                <w:b w:val="0"/>
                <w:sz w:val="19"/>
              </w:rPr>
              <w:t>[INSERT SIGNING DATE]</w:t>
            </w:r>
          </w:p>
        </w:tc>
      </w:tr>
      <w:tr>
        <w:tc>
          <w:tcPr>
            <w:tcW w:type="dxa" w:w="1800"/>
            <w:shd w:fill="F2F4F7"/>
            <w:tcMar>
              <w:top w:w="80" w:type="dxa"/>
              <w:start w:w="120" w:type="dxa"/>
              <w:bottom w:w="80" w:type="dxa"/>
              <w:end w:w="120" w:type="dxa"/>
            </w:tcMar>
            <w:vAlign w:val="center"/>
          </w:tcPr>
          <w:p>
            <w:r>
              <w:rPr>
                <w:rFonts w:ascii="Calibri" w:hAnsi="Calibri"/>
                <w:b/>
                <w:color w:val="0B2545"/>
                <w:sz w:val="19"/>
              </w:rPr>
              <w:t>Document</w:t>
            </w:r>
          </w:p>
        </w:tc>
        <w:tc>
          <w:tcPr>
            <w:tcW w:type="dxa" w:w="7560"/>
            <w:tcMar>
              <w:top w:w="80" w:type="dxa"/>
              <w:start w:w="120" w:type="dxa"/>
              <w:bottom w:w="80" w:type="dxa"/>
              <w:end w:w="120" w:type="dxa"/>
            </w:tcMar>
            <w:vAlign w:val="center"/>
          </w:tcPr>
          <w:p>
            <w:r>
              <w:rPr>
                <w:rFonts w:ascii="Calibri" w:hAnsi="Calibri"/>
                <w:b w:val="0"/>
                <w:sz w:val="19"/>
              </w:rPr>
              <w:t>GG-IP-OWN-001 - Version 1.0</w:t>
            </w:r>
          </w:p>
        </w:tc>
      </w:tr>
    </w:tbl>
    <w:p/>
    <w:p>
      <w:pPr>
        <w:pStyle w:val="Heading1"/>
      </w:pPr>
      <w:r>
        <w:t>1. Purpose and legal effect</w:t>
      </w:r>
    </w:p>
    <w:p>
      <w:r>
        <w:rPr>
          <w:rFonts w:ascii="Calibri" w:hAnsi="Calibri"/>
          <w:i w:val="0"/>
        </w:rPr>
        <w:t>This statement records the provenance, project control and claimed rights position for the assets identified in the current Galactic Gunners Asset Register. It is intended to support internal governance, commercial due diligence and chain-of-title records. It does not create rights that do not exist under applicable law, replace a contributor assignment, or constitute a government copyright registration.</w:t>
      </w:r>
    </w:p>
    <w:p>
      <w:pPr>
        <w:pStyle w:val="Heading1"/>
      </w:pPr>
      <w:r>
        <w:t>2. Rights-holder declaration</w:t>
      </w:r>
    </w:p>
    <w:p>
      <w:r>
        <w:rPr>
          <w:rFonts w:ascii="Calibri" w:hAnsi="Calibri"/>
          <w:i w:val="0"/>
        </w:rPr>
        <w:t>The undersigned declares, to the best of its knowledge and subject to the qualifications below, that it commissioned or directed the creation of the listed project outputs, controlled the project-specific creative brief, selected and approved the results, directed material revisions and post-processing, and holds the contractual rights assigned to the user/customer by the applicable AI service terms.</w:t>
      </w:r>
    </w:p>
    <w:p>
      <w:pPr>
        <w:pStyle w:val="ListBullet"/>
      </w:pPr>
      <w:r>
        <w:rPr>
          <w:rFonts w:ascii="Calibri" w:hAnsi="Calibri"/>
        </w:rPr>
        <w:t>The listed project outputs may be used commercially, modified, reproduced, distributed, incorporated into software, marketed and licensed by the Rights Holder, subject to applicable law and third-party rights.</w:t>
      </w:r>
    </w:p>
    <w:p>
      <w:pPr>
        <w:pStyle w:val="ListBullet"/>
      </w:pPr>
      <w:r>
        <w:rPr>
          <w:rFonts w:ascii="Calibri" w:hAnsi="Calibri"/>
        </w:rPr>
        <w:t>Project-owned prompts, brand direction, character requirements, selection decisions, compositing, normalization, packaging, metadata, manifests and software integration are recorded as human/project contributions where applicable.</w:t>
      </w:r>
    </w:p>
    <w:p>
      <w:pPr>
        <w:pStyle w:val="ListBullet"/>
      </w:pPr>
      <w:r>
        <w:rPr>
          <w:rFonts w:ascii="Calibri" w:hAnsi="Calibri"/>
        </w:rPr>
        <w:t>No representation is made that every purely AI-generated pixel is independently copyrightable or exclusive in every jurisdiction.</w:t>
      </w:r>
    </w:p>
    <w:p>
      <w:pPr>
        <w:pStyle w:val="Heading1"/>
      </w:pPr>
      <w:r>
        <w:t>3. AI-service contractual position</w:t>
      </w:r>
    </w:p>
    <w:p>
      <w:r>
        <w:rPr>
          <w:rFonts w:ascii="Calibri" w:hAnsi="Calibri"/>
          <w:i w:val="0"/>
        </w:rPr>
        <w:t>OpenAI's Europe Terms of Use, updated 16 January 2026, state that as between the user and OpenAI, and to the extent permitted by law, the user retains rights in Input and owns Output, with OpenAI assigning its right, title and interest, if any, in Output. The same terms caution that outputs may not be unique and require the user to hold the necessary rights in supplied inputs.</w:t>
      </w:r>
    </w:p>
    <w:p>
      <w:pPr>
        <w:pStyle w:val="Heading1"/>
      </w:pPr>
      <w:r>
        <w:t>4. EU copyright qualification</w:t>
      </w:r>
    </w:p>
    <w:p>
      <w:r>
        <w:rPr>
          <w:rFonts w:ascii="Calibri" w:hAnsi="Calibri"/>
          <w:i w:val="0"/>
        </w:rPr>
        <w:t>The European Commission's European IP Helpdesk explains that EU copyright protection generally requires sufficient human intellectual contribution expressing the author's own creative choices. Detailed prompting, iterative refinement and significant editing can support protection when human authorship predominates, but the assessment remains case-specific. Accordingly, this statement distinguishes contractual output ownership and project control from any guaranteed claim of statutory copyright in purely machine-generated elements.</w:t>
      </w:r>
    </w:p>
    <w:p>
      <w:pPr>
        <w:pStyle w:val="Heading1"/>
      </w:pPr>
      <w:r>
        <w:t>5. Background inputs and third-party rights</w:t>
      </w:r>
    </w:p>
    <w:p>
      <w:r>
        <w:rPr>
          <w:rFonts w:ascii="Calibri" w:hAnsi="Calibri"/>
          <w:i w:val="0"/>
        </w:rPr>
        <w:t>The Rights Holder must confirm that it owns or is authorised to use every uploaded logo, image, font, trademark, character concept or other input. GG-REF-001 is therefore recorded as background input pending final confirmation. If any contributor supplied original creative material, obtain a signed assignment or licence and retain it with this pack.</w:t>
      </w:r>
    </w:p>
    <w:p>
      <w:pPr>
        <w:pStyle w:val="Heading1"/>
      </w:pPr>
      <w:r>
        <w:t>6. Asset identification and renaming</w:t>
      </w:r>
    </w:p>
    <w:p>
      <w:r>
        <w:rPr>
          <w:rFonts w:ascii="Calibri" w:hAnsi="Calibri"/>
          <w:i w:val="0"/>
        </w:rPr>
        <w:t>The controlling identity of each asset is the combination of its stable Asset ID and SHA-256 digest in GG_ASSET_REGISTER_v1.0.csv. A filename is descriptive metadata only. Renaming a file without changing its bytes does not change its SHA-256 digest and does not remove it from this statement. Record every rename in GG_FILENAME_RENAME_LOG_v1.0.csv and update the Current Filename field.</w:t>
      </w:r>
    </w:p>
    <w:p>
      <w:pPr>
        <w:pStyle w:val="Heading1"/>
      </w:pPr>
      <w:r>
        <w:t>7. Records retained</w:t>
      </w:r>
    </w:p>
    <w:p>
      <w:pPr>
        <w:pStyle w:val="ListBullet"/>
      </w:pPr>
      <w:r>
        <w:rPr>
          <w:rFonts w:ascii="Calibri" w:hAnsi="Calibri"/>
        </w:rPr>
        <w:t>The signed version of this statement and the current asset register.</w:t>
      </w:r>
    </w:p>
    <w:p>
      <w:pPr>
        <w:pStyle w:val="ListBullet"/>
      </w:pPr>
      <w:r>
        <w:rPr>
          <w:rFonts w:ascii="Calibri" w:hAnsi="Calibri"/>
        </w:rPr>
        <w:t>Original prompts or briefs, reference inputs, generated masters and edited derivatives.</w:t>
      </w:r>
    </w:p>
    <w:p>
      <w:pPr>
        <w:pStyle w:val="ListBullet"/>
      </w:pPr>
      <w:r>
        <w:rPr>
          <w:rFonts w:ascii="Calibri" w:hAnsi="Calibri"/>
        </w:rPr>
        <w:t>Package-level and internal file hashes, creation dates and version history.</w:t>
      </w:r>
    </w:p>
    <w:p>
      <w:pPr>
        <w:pStyle w:val="ListBullet"/>
      </w:pPr>
      <w:r>
        <w:rPr>
          <w:rFonts w:ascii="Calibri" w:hAnsi="Calibri"/>
        </w:rPr>
        <w:t>Contributor assignments, employment/contractor IP clauses and third-party licences.</w:t>
      </w:r>
    </w:p>
    <w:p>
      <w:pPr>
        <w:pStyle w:val="ListBullet"/>
      </w:pPr>
      <w:r>
        <w:rPr>
          <w:rFonts w:ascii="Calibri" w:hAnsi="Calibri"/>
        </w:rPr>
        <w:t>Release approvals and evidence of meaningful human selection or editing.</w:t>
      </w:r>
    </w:p>
    <w:p>
      <w:pPr>
        <w:pStyle w:val="Heading1"/>
      </w:pPr>
      <w:r>
        <w:t>8. Sources and review date</w:t>
      </w:r>
    </w:p>
    <w:p>
      <w:r>
        <w:rPr>
          <w:rFonts w:ascii="Calibri" w:hAnsi="Calibri"/>
          <w:i w:val="0"/>
        </w:rPr>
        <w:t>OpenAI, Europe Terms of Use (updated 16 January 2026), Content section: https://openai.com/policies/eu-terms-of-use/</w:t>
      </w:r>
    </w:p>
    <w:p>
      <w:r>
        <w:rPr>
          <w:rFonts w:ascii="Calibri" w:hAnsi="Calibri"/>
          <w:i w:val="0"/>
        </w:rPr>
        <w:t>European Commission, European IP Helpdesk, FAQ on IP and Artificial Intelligence (updated February 2026): https://intellectual-property-helpdesk.ec.europa.eu/regional-helpdesks/european-ip-helpdesk/europe-frequently-asked-questions_en</w:t>
      </w:r>
    </w:p>
    <w:p>
      <w:r>
        <w:rPr>
          <w:rFonts w:ascii="Calibri" w:hAnsi="Calibri"/>
          <w:i/>
        </w:rPr>
        <w:t>Legal-source review date: 24 August 2026. Obtain qualified Italian/EU IP advice before external investment, assignment, enforcement or a material licensing transaction.</w:t>
      </w:r>
    </w:p>
    <w:p>
      <w:pPr>
        <w:pStyle w:val="Heading1"/>
      </w:pPr>
      <w:r>
        <w:t>Signature</w:t>
      </w:r>
    </w:p>
    <w:p>
      <w:r>
        <w:rPr>
          <w:rFonts w:ascii="Calibri" w:hAnsi="Calibri"/>
          <w:i w:val="0"/>
        </w:rPr>
        <w:t>Rights Holder legal name: ______________________________________________</w:t>
      </w:r>
    </w:p>
    <w:p>
      <w:r>
        <w:rPr>
          <w:rFonts w:ascii="Calibri" w:hAnsi="Calibri"/>
          <w:i w:val="0"/>
        </w:rPr>
        <w:t>Authorised signatory: ______________________________________________</w:t>
      </w:r>
    </w:p>
    <w:p>
      <w:r>
        <w:rPr>
          <w:rFonts w:ascii="Calibri" w:hAnsi="Calibri"/>
          <w:i w:val="0"/>
        </w:rPr>
        <w:t>Title/capacity: ____________________________________________________</w:t>
      </w:r>
    </w:p>
    <w:p>
      <w:r>
        <w:rPr>
          <w:rFonts w:ascii="Calibri" w:hAnsi="Calibri"/>
          <w:i w:val="0"/>
        </w:rPr>
        <w:t>Signature: ______________________________  Date: ____________________</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color w:val="5A6470"/>
        <w:sz w:val="17"/>
      </w:rPr>
      <w:t xml:space="preserve">GG-IP-OWN-001  |  v1.0  |  Page </w:t>
    </w: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5A6470"/>
        <w:sz w:val="17"/>
      </w:rPr>
      <w:t>GALACTIC GUNNERS | VISUAL ASSET RIGHTS PACK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0B254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 GG ASSET OWNERSHIP AND PROVENANCE STATEMENT v1.0</dc:title>
  <dc:subject>Galactic Gunners visual asset rights and provenance</dc:subject>
  <dc:creator>Galactic Gunners project</dc:creator>
  <cp:keywords>Galactic Gunners, visual assets, licence, ownership, AI provenance</cp:keywords>
  <dc:description>generated by python-docx</dc:description>
  <cp:lastModifiedBy/>
  <cp:revision>1</cp:revision>
  <dcterms:created xsi:type="dcterms:W3CDTF">2013-12-23T23:15:00Z</dcterms:created>
  <dcterms:modified xsi:type="dcterms:W3CDTF">2013-12-23T23:15:00Z</dcterms:modified>
  <cp:category/>
</cp:coreProperties>
</file>