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FILENAME AND ASSET REGISTER GUIDE</w:t>
      </w:r>
    </w:p>
    <w:p>
      <w:pPr>
        <w:spacing w:after="320"/>
      </w:pPr>
      <w:r>
        <w:rPr>
          <w:rFonts w:ascii="Calibri" w:hAnsi="Calibri"/>
          <w:b w:val="0"/>
          <w:color w:val="5A6470"/>
          <w:sz w:val="26"/>
        </w:rPr>
        <w:t>Stable identity, renaming and hash-control procedure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center"/>
          </w:tcPr>
          <w:p>
            <w:r>
              <w:rPr>
                <w:rFonts w:ascii="Calibri" w:hAnsi="Calibri"/>
                <w:b/>
                <w:color w:val="0B2545"/>
                <w:sz w:val="19"/>
              </w:rPr>
              <w:t>Project</w:t>
            </w:r>
          </w:p>
        </w:tc>
        <w:tc>
          <w:tcPr>
            <w:tcW w:type="dxa" w:w="7560"/>
            <w:tcMar>
              <w:top w:w="80" w:type="dxa"/>
              <w:start w:w="120" w:type="dxa"/>
              <w:bottom w:w="80" w:type="dxa"/>
              <w:end w:w="120" w:type="dxa"/>
            </w:tcMar>
            <w:vAlign w:val="center"/>
          </w:tcPr>
          <w:p>
            <w:r>
              <w:rPr>
                <w:rFonts w:ascii="Calibri" w:hAnsi="Calibri"/>
                <w:b w:val="0"/>
                <w:sz w:val="19"/>
              </w:rPr>
              <w:t>Galactic Gunners</w:t>
            </w:r>
          </w:p>
        </w:tc>
      </w:tr>
      <w:tr>
        <w:tc>
          <w:tcPr>
            <w:tcW w:type="dxa" w:w="1800"/>
            <w:shd w:fill="F2F4F7"/>
            <w:tcMar>
              <w:top w:w="80" w:type="dxa"/>
              <w:start w:w="120" w:type="dxa"/>
              <w:bottom w:w="80" w:type="dxa"/>
              <w:end w:w="120" w:type="dxa"/>
            </w:tcMar>
            <w:vAlign w:val="center"/>
          </w:tcPr>
          <w:p>
            <w:r>
              <w:rPr>
                <w:rFonts w:ascii="Calibri" w:hAnsi="Calibri"/>
                <w:b/>
                <w:color w:val="0B2545"/>
                <w:sz w:val="19"/>
              </w:rPr>
              <w:t>Prepared for</w:t>
            </w:r>
          </w:p>
        </w:tc>
        <w:tc>
          <w:tcPr>
            <w:tcW w:type="dxa" w:w="7560"/>
            <w:tcMar>
              <w:top w:w="80" w:type="dxa"/>
              <w:start w:w="120" w:type="dxa"/>
              <w:bottom w:w="80" w:type="dxa"/>
              <w:end w:w="120" w:type="dxa"/>
            </w:tcMar>
            <w:vAlign w:val="center"/>
          </w:tcPr>
          <w:p>
            <w:r>
              <w:rPr>
                <w:rFonts w:ascii="Calibri" w:hAnsi="Calibri"/>
                <w:b w:val="0"/>
                <w:sz w:val="19"/>
              </w:rPr>
              <w:t>Michael Leese / Galactic Gunners project</w:t>
            </w:r>
          </w:p>
        </w:tc>
      </w:tr>
      <w:tr>
        <w:tc>
          <w:tcPr>
            <w:tcW w:type="dxa" w:w="1800"/>
            <w:shd w:fill="F2F4F7"/>
            <w:tcMar>
              <w:top w:w="80" w:type="dxa"/>
              <w:start w:w="120" w:type="dxa"/>
              <w:bottom w:w="80" w:type="dxa"/>
              <w:end w:w="120" w:type="dxa"/>
            </w:tcMar>
            <w:vAlign w:val="center"/>
          </w:tcPr>
          <w:p>
            <w:r>
              <w:rPr>
                <w:rFonts w:ascii="Calibri" w:hAnsi="Calibri"/>
                <w:b/>
                <w:color w:val="0B2545"/>
                <w:sz w:val="19"/>
              </w:rPr>
              <w:t>Rights holder</w:t>
            </w:r>
          </w:p>
        </w:tc>
        <w:tc>
          <w:tcPr>
            <w:tcW w:type="dxa" w:w="7560"/>
            <w:tcMar>
              <w:top w:w="80" w:type="dxa"/>
              <w:start w:w="120" w:type="dxa"/>
              <w:bottom w:w="80" w:type="dxa"/>
              <w:end w:w="120" w:type="dxa"/>
            </w:tcMar>
            <w:vAlign w:val="center"/>
          </w:tcPr>
          <w:p>
            <w:r>
              <w:rPr>
                <w:rFonts w:ascii="Calibri" w:hAnsi="Calibri"/>
                <w:b w:val="0"/>
                <w:sz w:val="19"/>
              </w:rPr>
              <w:t>[INSERT FINAL LEGAL RIGHTS-HOLDER NAME]</w:t>
            </w:r>
          </w:p>
        </w:tc>
      </w:tr>
      <w:tr>
        <w:tc>
          <w:tcPr>
            <w:tcW w:type="dxa" w:w="1800"/>
            <w:shd w:fill="F2F4F7"/>
            <w:tcMar>
              <w:top w:w="80" w:type="dxa"/>
              <w:start w:w="120" w:type="dxa"/>
              <w:bottom w:w="80" w:type="dxa"/>
              <w:end w:w="120" w:type="dxa"/>
            </w:tcMar>
            <w:vAlign w:val="center"/>
          </w:tcPr>
          <w:p>
            <w:r>
              <w:rPr>
                <w:rFonts w:ascii="Calibri" w:hAnsi="Calibri"/>
                <w:b/>
                <w:color w:val="0B2545"/>
                <w:sz w:val="19"/>
              </w:rPr>
              <w:t>Effective date</w:t>
            </w:r>
          </w:p>
        </w:tc>
        <w:tc>
          <w:tcPr>
            <w:tcW w:type="dxa" w:w="7560"/>
            <w:tcMar>
              <w:top w:w="80" w:type="dxa"/>
              <w:start w:w="120" w:type="dxa"/>
              <w:bottom w:w="80" w:type="dxa"/>
              <w:end w:w="120" w:type="dxa"/>
            </w:tcMar>
            <w:vAlign w:val="center"/>
          </w:tcPr>
          <w:p>
            <w:r>
              <w:rPr>
                <w:rFonts w:ascii="Calibri" w:hAnsi="Calibri"/>
                <w:b w:val="0"/>
                <w:sz w:val="19"/>
              </w:rPr>
              <w:t>[INSERT SIGNING DATE]</w:t>
            </w:r>
          </w:p>
        </w:tc>
      </w:tr>
      <w:tr>
        <w:tc>
          <w:tcPr>
            <w:tcW w:type="dxa" w:w="1800"/>
            <w:shd w:fill="F2F4F7"/>
            <w:tcMar>
              <w:top w:w="80" w:type="dxa"/>
              <w:start w:w="120" w:type="dxa"/>
              <w:bottom w:w="80" w:type="dxa"/>
              <w:end w:w="120" w:type="dxa"/>
            </w:tcMar>
            <w:vAlign w:val="center"/>
          </w:tcPr>
          <w:p>
            <w:r>
              <w:rPr>
                <w:rFonts w:ascii="Calibri" w:hAnsi="Calibri"/>
                <w:b/>
                <w:color w:val="0B2545"/>
                <w:sz w:val="19"/>
              </w:rPr>
              <w:t>Document</w:t>
            </w:r>
          </w:p>
        </w:tc>
        <w:tc>
          <w:tcPr>
            <w:tcW w:type="dxa" w:w="7560"/>
            <w:tcMar>
              <w:top w:w="80" w:type="dxa"/>
              <w:start w:w="120" w:type="dxa"/>
              <w:bottom w:w="80" w:type="dxa"/>
              <w:end w:w="120" w:type="dxa"/>
            </w:tcMar>
            <w:vAlign w:val="center"/>
          </w:tcPr>
          <w:p>
            <w:r>
              <w:rPr>
                <w:rFonts w:ascii="Calibri" w:hAnsi="Calibri"/>
                <w:b w:val="0"/>
                <w:sz w:val="19"/>
              </w:rPr>
              <w:t>GG-IP-SOP-001 - Version 1.0</w:t>
            </w:r>
          </w:p>
        </w:tc>
      </w:tr>
    </w:tbl>
    <w:p/>
    <w:p>
      <w:pPr>
        <w:pStyle w:val="Heading1"/>
      </w:pPr>
      <w:r>
        <w:t>1. The rule that protects the chain of title</w:t>
      </w:r>
    </w:p>
    <w:p>
      <w:r>
        <w:rPr>
          <w:rFonts w:ascii="Calibri" w:hAnsi="Calibri"/>
          <w:i w:val="0"/>
        </w:rPr>
        <w:t>Never identify an asset only by filename. Use the stable Asset ID plus the SHA-256 digest. A rename changes the name but not the bytes, so the digest normally remains identical. The ownership statement and licence continue to cover the asset when the register preserves the Asset ID, prior name, new name and digest.</w:t>
      </w:r>
    </w:p>
    <w:p>
      <w:pPr>
        <w:pStyle w:val="Heading1"/>
      </w:pPr>
      <w:r>
        <w:t>2. How to add your renamed filenames</w:t>
      </w:r>
    </w:p>
    <w:p>
      <w:pPr>
        <w:pStyle w:val="ListNumber"/>
      </w:pPr>
      <w:r>
        <w:rPr>
          <w:rFonts w:ascii="Calibri" w:hAnsi="Calibri"/>
        </w:rPr>
        <w:t>Open registers/GG_FILENAME_RENAME_LOG_v1.0.csv in Excel or a text editor.</w:t>
      </w:r>
    </w:p>
    <w:p>
      <w:pPr>
        <w:pStyle w:val="ListNumber"/>
      </w:pPr>
      <w:r>
        <w:rPr>
          <w:rFonts w:ascii="Calibri" w:hAnsi="Calibri"/>
        </w:rPr>
        <w:t>Add one row for each rename. Enter the existing Asset ID, exact old filename, exact new filename, reason, approver and rename date. Set status to Pending.</w:t>
      </w:r>
    </w:p>
    <w:p>
      <w:pPr>
        <w:pStyle w:val="ListNumber"/>
      </w:pPr>
      <w:r>
        <w:rPr>
          <w:rFonts w:ascii="Calibri" w:hAnsi="Calibri"/>
        </w:rPr>
        <w:t>Place the files to be renamed under an assets folder, preserving any subdirectories written in the CSV.</w:t>
      </w:r>
    </w:p>
    <w:p>
      <w:pPr>
        <w:pStyle w:val="ListNumber"/>
      </w:pPr>
      <w:r>
        <w:rPr>
          <w:rFonts w:ascii="Calibri" w:hAnsi="Calibri"/>
        </w:rPr>
        <w:t>Run tools/UPDATE_ASSET_REGISTER.ps1 from PowerShell. The script renames each Pending item, recalculates SHA-256 and updates the Current Filename, Previous Filenames and Last Updated fields in the asset register.</w:t>
      </w:r>
    </w:p>
    <w:p>
      <w:pPr>
        <w:pStyle w:val="ListNumber"/>
      </w:pPr>
      <w:r>
        <w:rPr>
          <w:rFonts w:ascii="Calibri" w:hAnsi="Calibri"/>
        </w:rPr>
        <w:t>Review the changed register and rename log. Confirm the post-rename SHA-256 equals the pre-rename digest when the file bytes were not edited.</w:t>
      </w:r>
    </w:p>
    <w:p>
      <w:pPr>
        <w:pStyle w:val="ListNumber"/>
      </w:pPr>
      <w:r>
        <w:rPr>
          <w:rFonts w:ascii="Calibri" w:hAnsi="Calibri"/>
        </w:rPr>
        <w:t>Create a fresh pack-level SHA256SUMS.txt and keep the previous signed register version as immutable history.</w:t>
      </w:r>
    </w:p>
    <w:p>
      <w:pPr>
        <w:pStyle w:val="Heading1"/>
      </w:pPr>
      <w:r>
        <w:t>3. Manual example</w:t>
      </w:r>
    </w:p>
    <w:p>
      <w:r>
        <w:rPr>
          <w:rFonts w:ascii="Calibri" w:hAnsi="Calibri"/>
          <w:i w:val="0"/>
        </w:rPr>
        <w:t>If GG-ART-002 is renamed from gg_welcome_hero_ground_space_battle_v001_4k.png to gg_welcome_screen_battle_v003.png, do not change GG-ART-002. Put the original name into Previous Filenames, the new name into Current Filename, retain or recompute the SHA-256, and add a dated rename-log row. The documents then identify the same underlying bytes despite the new name.</w:t>
      </w:r>
    </w:p>
    <w:p>
      <w:pPr>
        <w:pStyle w:val="Heading1"/>
      </w:pPr>
      <w:r>
        <w:t>4. When the hash should change</w:t>
      </w:r>
    </w:p>
    <w:p>
      <w:r>
        <w:rPr>
          <w:rFonts w:ascii="Calibri" w:hAnsi="Calibri"/>
          <w:i w:val="0"/>
        </w:rPr>
        <w:t>The hash changes when the file bytes change - for example after editing, recompression, metadata injection, colour-profile conversion, atlas rebuilding or re-zipping. Treat that as a new version or derivative, not a simple rename. Keep the original row, create a new Asset ID or versioned child ID, record the parent asset, and preserve both hashes.</w:t>
      </w:r>
    </w:p>
    <w:p>
      <w:pPr>
        <w:pStyle w:val="Heading1"/>
      </w:pPr>
      <w:r>
        <w:t>5. Recommended naming pattern</w:t>
      </w:r>
    </w:p>
    <w:p>
      <w:r>
        <w:rPr>
          <w:rFonts w:ascii="Calibri" w:hAnsi="Calibri"/>
          <w:i w:val="0"/>
        </w:rPr>
        <w:t>Recommended: gg_&lt;category&gt;_&lt;subject&gt;_&lt;state-or-purpose&gt;_v&lt;major.minor&gt;_&lt;resolution-or-format&gt;.&lt;ext&gt;</w:t>
      </w:r>
    </w:p>
    <w:p>
      <w:pPr>
        <w:pStyle w:val="ListBullet"/>
      </w:pPr>
      <w:r>
        <w:rPr>
          <w:rFonts w:ascii="Calibri" w:hAnsi="Calibri"/>
        </w:rPr>
        <w:t>Use lowercase ASCII, underscores and explicit versions.</w:t>
      </w:r>
    </w:p>
    <w:p>
      <w:pPr>
        <w:pStyle w:val="ListBullet"/>
      </w:pPr>
      <w:r>
        <w:rPr>
          <w:rFonts w:ascii="Calibri" w:hAnsi="Calibri"/>
        </w:rPr>
        <w:t>Do not reuse one filename for different byte content.</w:t>
      </w:r>
    </w:p>
    <w:p>
      <w:pPr>
        <w:pStyle w:val="ListBullet"/>
      </w:pPr>
      <w:r>
        <w:rPr>
          <w:rFonts w:ascii="Calibri" w:hAnsi="Calibri"/>
        </w:rPr>
        <w:t>Keep logical state names such as off, hover, active, disabled, idle, walk, run and shoot.</w:t>
      </w:r>
    </w:p>
    <w:p>
      <w:pPr>
        <w:pStyle w:val="ListBullet"/>
      </w:pPr>
      <w:r>
        <w:rPr>
          <w:rFonts w:ascii="Calibri" w:hAnsi="Calibri"/>
        </w:rPr>
        <w:t>Keep the Asset ID stable across harmless renames; create a new version record for content changes.</w:t>
      </w:r>
    </w:p>
    <w:p>
      <w:pPr>
        <w:pStyle w:val="Heading1"/>
      </w:pPr>
      <w:r>
        <w:t>6. Release checklist</w:t>
      </w:r>
    </w:p>
    <w:p>
      <w:pPr>
        <w:pStyle w:val="ListBullet"/>
      </w:pPr>
      <w:r>
        <w:rPr>
          <w:rFonts w:ascii="Calibri" w:hAnsi="Calibri"/>
        </w:rPr>
        <w:t>Every released asset has an Asset ID, current filename, source, creation date and SHA-256.</w:t>
      </w:r>
    </w:p>
    <w:p>
      <w:pPr>
        <w:pStyle w:val="ListBullet"/>
      </w:pPr>
      <w:r>
        <w:rPr>
          <w:rFonts w:ascii="Calibri" w:hAnsi="Calibri"/>
        </w:rPr>
        <w:t>Every background input has a recorded owner, licence or confirmation requirement.</w:t>
      </w:r>
    </w:p>
    <w:p>
      <w:pPr>
        <w:pStyle w:val="ListBullet"/>
      </w:pPr>
      <w:r>
        <w:rPr>
          <w:rFonts w:ascii="Calibri" w:hAnsi="Calibri"/>
        </w:rPr>
        <w:t>Every contributor has signed the appropriate agreement before commercial release.</w:t>
      </w:r>
    </w:p>
    <w:p>
      <w:pPr>
        <w:pStyle w:val="ListBullet"/>
      </w:pPr>
      <w:r>
        <w:rPr>
          <w:rFonts w:ascii="Calibri" w:hAnsi="Calibri"/>
        </w:rPr>
        <w:t>Every ZIP validates and contains its own internal manifest where practical.</w:t>
      </w:r>
    </w:p>
    <w:p>
      <w:pPr>
        <w:pStyle w:val="ListBullet"/>
      </w:pPr>
      <w:r>
        <w:rPr>
          <w:rFonts w:ascii="Calibri" w:hAnsi="Calibri"/>
        </w:rPr>
        <w:t>The current ownership statement references the current register version.</w:t>
      </w:r>
    </w:p>
    <w:p>
      <w:pPr>
        <w:pStyle w:val="ListBullet"/>
      </w:pPr>
      <w:r>
        <w:rPr>
          <w:rFonts w:ascii="Calibri" w:hAnsi="Calibri"/>
        </w:rPr>
        <w:t>Previous registers and rename logs remain preserved as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470"/>
        <w:sz w:val="17"/>
      </w:rPr>
      <w:t xml:space="preserve">GG-IP-SOP-001  |  v1.0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470"/>
        <w:sz w:val="17"/>
      </w:rPr>
      <w:t>GALACTIC GUNNERS | VISUAL ASSET RIGHTS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GG FILENAME AND ASSET REGISTER GUIDE v1.0</dc:title>
  <dc:subject>Galactic Gunners visual asset rights and provenance</dc:subject>
  <dc:creator>Galactic Gunners project</dc:creator>
  <cp:keywords>Galactic Gunners, visual assets, licence, ownership, AI provenance</cp:keywords>
  <dc:description>generated by python-docx</dc:description>
  <cp:lastModifiedBy/>
  <cp:revision>1</cp:revision>
  <dcterms:created xsi:type="dcterms:W3CDTF">2013-12-23T23:15:00Z</dcterms:created>
  <dcterms:modified xsi:type="dcterms:W3CDTF">2013-12-23T23:15:00Z</dcterms:modified>
  <cp:category/>
</cp:coreProperties>
</file>