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Profº Alécio A. P. Godoi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Alexandre Henrique Gabino de Souza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RA: 292482011019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Igor Silva Nascimento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RA: 2920482011004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Joel Rodrigues Lima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RA: 2920482011025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Lucas Ariel Souza Pino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RA: 2920481921040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Melissa Menezes da Silva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RA: 2920482011020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Rafael Oliveira Silva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RA: 2920482011017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900ff"/>
                <w:sz w:val="24"/>
                <w:szCs w:val="24"/>
                <w:rtl w:val="0"/>
              </w:rPr>
              <w:t xml:space="preserve">Casos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Candidatar-se à vaga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poderá candidatar-se a uma vaga anunciada por uma empresa e esperar por um feedback da mesma.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 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ou empresa poderá logar-se para ter autorização para usar as funcionalidades da plataforma.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Seguir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cliente ou empresa poderá seguir um perfil na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 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Interagir com publicação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ou empresa poderá interagir com postagens, como reagir, comentar, compartilhar, denunciar, etc...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 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Publicar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 cliente ou empresa poderá publicar algum conteúdo na plataforma, como exemplo, uma empresa compartilhar uma contratação ou um cliente compartilhar que conseguiu um emprego.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R7, 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Cadastrar-se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cliente ou empresa poderá cadastrar-se na plataforma para ter acesso às funcionalidades de suas respectivas áreas.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Responder candidatura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empresa deverá responder uma candidatura feita pelo cliente, dando um feedback necessário referente à vaga, se a empresa não responder em um prazo determinado, perderá pontuação em sua avaliação interna, onde terá menos prioridade na hora de mostrar as vagas para 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Anunciar Vaga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empresa poderá anunciar uma vaga que ficará disponível para os clientes verem.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DIÁRIO DE BORDO</w:t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660"/>
        <w:gridCol w:w="3780"/>
        <w:tblGridChange w:id="0">
          <w:tblGrid>
            <w:gridCol w:w="1575"/>
            <w:gridCol w:w="3660"/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Atividades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Responsáveis pelas 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figuras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Panorama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Hipóteses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Bibliografia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Lemos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Ariel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Henrique, Igor Nascimento, Joel Rodrigues, Lucas Ariel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do 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Menezes, 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Diário de bordo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Silva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 Entidade e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Silva Nascimento</w:t>
            </w:r>
          </w:p>
        </w:tc>
      </w:tr>
    </w:tbl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b w:val="1"/>
          <w:rtl w:val="0"/>
        </w:rPr>
        <w:t xml:space="preserve">Diagrama de casos de uso</w:t>
      </w:r>
      <w:r w:rsidDel="00000000" w:rsidR="00000000" w:rsidRPr="00000000">
        <w:rPr/>
        <w:drawing>
          <wp:inline distB="114300" distT="114300" distL="114300" distR="114300">
            <wp:extent cx="4714875" cy="552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Antigo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Atualizado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