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D8" w:rsidRDefault="009C4A41">
      <w:pPr>
        <w:framePr w:w="840" w:h="840" w:hSpace="180" w:wrap="auto" w:vAnchor="text" w:hAnchor="page" w:x="1873" w:y="21"/>
        <w:rPr>
          <w:b/>
          <w:bCs/>
          <w:sz w:val="40"/>
          <w:szCs w:val="40"/>
        </w:rPr>
      </w:pPr>
      <w:r>
        <w:rPr>
          <w:b/>
          <w:bCs/>
          <w:noProof/>
          <w:lang w:eastAsia="en-AU"/>
        </w:rPr>
        <w:drawing>
          <wp:inline distT="0" distB="0" distL="0" distR="0">
            <wp:extent cx="577850" cy="5346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7850" cy="534670"/>
                    </a:xfrm>
                    <a:prstGeom prst="rect">
                      <a:avLst/>
                    </a:prstGeom>
                    <a:noFill/>
                    <a:ln w="9525">
                      <a:noFill/>
                      <a:miter lim="800000"/>
                      <a:headEnd/>
                      <a:tailEnd/>
                    </a:ln>
                  </pic:spPr>
                </pic:pic>
              </a:graphicData>
            </a:graphic>
          </wp:inline>
        </w:drawing>
      </w:r>
    </w:p>
    <w:p w:rsidR="000760D8" w:rsidRDefault="000760D8">
      <w:pPr>
        <w:pStyle w:val="Heading4"/>
        <w:framePr w:w="5578" w:wrap="auto" w:x="3142" w:y="289"/>
        <w:rPr>
          <w:rFonts w:ascii="Arial" w:hAnsi="Arial" w:cs="Arial"/>
          <w:sz w:val="48"/>
          <w:szCs w:val="48"/>
        </w:rPr>
      </w:pPr>
      <w:smartTag w:uri="urn:schemas-microsoft-com:office:smarttags" w:element="place">
        <w:smartTag w:uri="urn:schemas-microsoft-com:office:smarttags" w:element="PlaceName">
          <w:r>
            <w:rPr>
              <w:rFonts w:ascii="Arial" w:hAnsi="Arial" w:cs="Arial"/>
              <w:sz w:val="48"/>
              <w:szCs w:val="48"/>
            </w:rPr>
            <w:t>Narrabundah</w:t>
          </w:r>
        </w:smartTag>
        <w:r>
          <w:rPr>
            <w:rFonts w:ascii="Arial" w:hAnsi="Arial" w:cs="Arial"/>
            <w:sz w:val="48"/>
            <w:szCs w:val="48"/>
          </w:rPr>
          <w:t xml:space="preserve"> </w:t>
        </w:r>
        <w:smartTag w:uri="urn:schemas-microsoft-com:office:smarttags" w:element="PlaceType">
          <w:r>
            <w:rPr>
              <w:rFonts w:ascii="Arial" w:hAnsi="Arial" w:cs="Arial"/>
              <w:sz w:val="48"/>
              <w:szCs w:val="48"/>
            </w:rPr>
            <w:t>College</w:t>
          </w:r>
        </w:smartTag>
      </w:smartTag>
    </w:p>
    <w:p w:rsidR="000760D8" w:rsidRDefault="000760D8">
      <w:pPr>
        <w:rPr>
          <w:b/>
          <w:bCs/>
        </w:rPr>
      </w:pPr>
      <w:r>
        <w:rPr>
          <w:b/>
          <w:bC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2.45pt;margin-top:-3.4pt;width:64.8pt;height:48.6pt;z-index:251657728">
            <v:imagedata r:id="rId8" o:title=""/>
            <w10:wrap type="topAndBottom"/>
          </v:shape>
          <o:OLEObject Type="Embed" ProgID="PBrush" ShapeID="_x0000_s1026" DrawAspect="Content" ObjectID="_1441178075" r:id="rId9"/>
        </w:pict>
      </w:r>
    </w:p>
    <w:p w:rsidR="000760D8" w:rsidRDefault="000760D8">
      <w:pPr>
        <w:pBdr>
          <w:top w:val="single" w:sz="6" w:space="0" w:color="auto"/>
        </w:pBdr>
        <w:rPr>
          <w:sz w:val="16"/>
          <w:szCs w:val="16"/>
        </w:rPr>
      </w:pPr>
    </w:p>
    <w:p w:rsidR="00961DFA" w:rsidRDefault="00961DFA" w:rsidP="00961DFA">
      <w:pPr>
        <w:rPr>
          <w:b/>
          <w:bCs/>
          <w:sz w:val="28"/>
          <w:szCs w:val="28"/>
        </w:rPr>
      </w:pPr>
      <w:r>
        <w:rPr>
          <w:b/>
          <w:bCs/>
          <w:sz w:val="28"/>
          <w:szCs w:val="28"/>
        </w:rPr>
        <w:t>Course : Information Technology</w:t>
      </w:r>
    </w:p>
    <w:p w:rsidR="00961DFA" w:rsidRPr="007D6010" w:rsidRDefault="00961DFA" w:rsidP="00961DFA">
      <w:pPr>
        <w:rPr>
          <w:b/>
          <w:bCs/>
          <w:sz w:val="24"/>
          <w:szCs w:val="24"/>
        </w:rPr>
      </w:pPr>
      <w:r>
        <w:rPr>
          <w:b/>
          <w:bCs/>
          <w:sz w:val="28"/>
          <w:szCs w:val="28"/>
        </w:rPr>
        <w:t xml:space="preserve">Unit Title </w:t>
      </w:r>
      <w:r w:rsidRPr="00746281">
        <w:rPr>
          <w:b/>
          <w:bCs/>
          <w:sz w:val="24"/>
          <w:szCs w:val="24"/>
        </w:rPr>
        <w:t xml:space="preserve">: </w:t>
      </w:r>
      <w:r>
        <w:rPr>
          <w:b/>
          <w:bCs/>
          <w:sz w:val="24"/>
          <w:szCs w:val="24"/>
        </w:rPr>
        <w:t xml:space="preserve">  ITP</w:t>
      </w:r>
      <w:r w:rsidRPr="00746281">
        <w:rPr>
          <w:b/>
          <w:bCs/>
          <w:sz w:val="24"/>
          <w:szCs w:val="24"/>
        </w:rPr>
        <w:t xml:space="preserve"> Program and Design Concepts T/V</w:t>
      </w:r>
    </w:p>
    <w:p w:rsidR="00961DFA" w:rsidRDefault="00961DFA" w:rsidP="00961DFA">
      <w:pPr>
        <w:pStyle w:val="TOC2"/>
        <w:ind w:hanging="14"/>
        <w:rPr>
          <w:rFonts w:cs="Arial"/>
        </w:rPr>
      </w:pPr>
    </w:p>
    <w:p w:rsidR="00961DFA" w:rsidRPr="007C1EDB" w:rsidRDefault="00961DFA" w:rsidP="00961DFA">
      <w:pPr>
        <w:pStyle w:val="TOC2"/>
        <w:ind w:hanging="14"/>
        <w:rPr>
          <w:rFonts w:cs="Arial"/>
          <w:b/>
          <w:bCs/>
          <w:sz w:val="20"/>
          <w:szCs w:val="20"/>
        </w:rPr>
      </w:pPr>
      <w:r w:rsidRPr="007C1EDB">
        <w:rPr>
          <w:rFonts w:cs="Arial"/>
          <w:b/>
          <w:bCs/>
          <w:sz w:val="20"/>
          <w:szCs w:val="20"/>
        </w:rPr>
        <w:t xml:space="preserve">Study in this unit can contribute towards: </w:t>
      </w:r>
    </w:p>
    <w:p w:rsidR="00961DFA" w:rsidRPr="007C1EDB" w:rsidRDefault="00961DFA" w:rsidP="00961DFA">
      <w:pPr>
        <w:pStyle w:val="TOC2"/>
        <w:numPr>
          <w:ilvl w:val="0"/>
          <w:numId w:val="28"/>
        </w:numPr>
        <w:rPr>
          <w:rFonts w:cs="Arial"/>
          <w:b/>
          <w:bCs/>
          <w:color w:val="000000"/>
          <w:sz w:val="20"/>
          <w:szCs w:val="20"/>
        </w:rPr>
      </w:pPr>
      <w:r w:rsidRPr="007C1EDB">
        <w:rPr>
          <w:rFonts w:cs="Arial"/>
          <w:b/>
          <w:bCs/>
          <w:color w:val="000000"/>
          <w:sz w:val="20"/>
          <w:szCs w:val="20"/>
        </w:rPr>
        <w:t>ICA10105 Certificate I in Information Technology</w:t>
      </w:r>
      <w:r>
        <w:rPr>
          <w:rFonts w:cs="Arial"/>
          <w:b/>
          <w:bCs/>
          <w:color w:val="000000"/>
          <w:sz w:val="20"/>
          <w:szCs w:val="20"/>
        </w:rPr>
        <w:t>.</w:t>
      </w:r>
    </w:p>
    <w:p w:rsidR="00961DFA" w:rsidRPr="007C1EDB" w:rsidRDefault="00961DFA" w:rsidP="00961DFA">
      <w:pPr>
        <w:pStyle w:val="TOC2"/>
        <w:numPr>
          <w:ilvl w:val="0"/>
          <w:numId w:val="28"/>
        </w:numPr>
        <w:rPr>
          <w:rFonts w:cs="Arial"/>
          <w:b/>
          <w:bCs/>
          <w:color w:val="000000"/>
          <w:sz w:val="20"/>
          <w:szCs w:val="20"/>
        </w:rPr>
      </w:pPr>
      <w:r w:rsidRPr="007C1EDB">
        <w:rPr>
          <w:rFonts w:cs="Arial"/>
          <w:b/>
          <w:bCs/>
          <w:color w:val="000000"/>
          <w:sz w:val="20"/>
          <w:szCs w:val="20"/>
        </w:rPr>
        <w:t>ICA20105 Certificate II in Information Technology.</w:t>
      </w:r>
    </w:p>
    <w:p w:rsidR="00961DFA" w:rsidRDefault="00961DFA" w:rsidP="00961DFA">
      <w:pPr>
        <w:jc w:val="center"/>
        <w:rPr>
          <w:b/>
          <w:bCs/>
          <w:sz w:val="24"/>
          <w:szCs w:val="24"/>
        </w:rPr>
      </w:pPr>
    </w:p>
    <w:p w:rsidR="00961DFA" w:rsidRDefault="00961DFA" w:rsidP="00961DFA">
      <w:pPr>
        <w:tabs>
          <w:tab w:val="left" w:pos="3402"/>
          <w:tab w:val="left" w:pos="5954"/>
        </w:tabs>
        <w:rPr>
          <w:b/>
          <w:bCs/>
          <w:sz w:val="24"/>
          <w:szCs w:val="24"/>
        </w:rPr>
      </w:pPr>
      <w:r>
        <w:rPr>
          <w:b/>
          <w:bCs/>
          <w:sz w:val="24"/>
          <w:szCs w:val="24"/>
        </w:rPr>
        <w:t>SESSION:   2</w:t>
      </w:r>
      <w:r>
        <w:rPr>
          <w:sz w:val="24"/>
          <w:szCs w:val="24"/>
        </w:rPr>
        <w:tab/>
      </w:r>
      <w:r>
        <w:rPr>
          <w:b/>
          <w:bCs/>
          <w:sz w:val="24"/>
          <w:szCs w:val="24"/>
        </w:rPr>
        <w:t>YEAR:  20</w:t>
      </w:r>
      <w:r w:rsidR="00C81AC6">
        <w:rPr>
          <w:b/>
          <w:bCs/>
          <w:sz w:val="24"/>
          <w:szCs w:val="24"/>
        </w:rPr>
        <w:t>10</w:t>
      </w:r>
      <w:r>
        <w:rPr>
          <w:b/>
          <w:bCs/>
          <w:sz w:val="24"/>
          <w:szCs w:val="24"/>
        </w:rPr>
        <w:tab/>
      </w:r>
      <w:r>
        <w:rPr>
          <w:b/>
          <w:bCs/>
          <w:sz w:val="24"/>
          <w:szCs w:val="24"/>
        </w:rPr>
        <w:tab/>
        <w:t>1.0 Standard Unit</w:t>
      </w:r>
    </w:p>
    <w:p w:rsidR="00961DFA" w:rsidRPr="00C66951" w:rsidRDefault="00961DFA" w:rsidP="00961DFA">
      <w:pPr>
        <w:pStyle w:val="Heading3"/>
        <w:rPr>
          <w:b/>
          <w:bCs/>
        </w:rPr>
      </w:pPr>
      <w:r>
        <w:t>Class: 419_2</w:t>
      </w:r>
      <w:r>
        <w:tab/>
      </w:r>
      <w:r>
        <w:tab/>
      </w:r>
      <w:r>
        <w:tab/>
      </w:r>
      <w:r>
        <w:tab/>
      </w:r>
      <w:r>
        <w:tab/>
      </w:r>
      <w:r>
        <w:tab/>
        <w:t>Teacher: Greg Clarke</w:t>
      </w:r>
    </w:p>
    <w:p w:rsidR="00961DFA" w:rsidRPr="00C66951" w:rsidRDefault="00961DFA" w:rsidP="00961DFA">
      <w:r>
        <w:rPr>
          <w:b/>
          <w:bCs/>
        </w:rPr>
        <w:t>Consumables levy:</w:t>
      </w:r>
      <w:r>
        <w:t xml:space="preserve"> </w:t>
      </w:r>
      <w:r w:rsidRPr="00FA575F">
        <w:rPr>
          <w:b/>
          <w:bCs/>
        </w:rPr>
        <w:t>$</w:t>
      </w:r>
      <w:r>
        <w:rPr>
          <w:b/>
          <w:bCs/>
        </w:rPr>
        <w:t>2</w:t>
      </w:r>
      <w:r w:rsidRPr="00FA575F">
        <w:rPr>
          <w:b/>
          <w:bCs/>
        </w:rPr>
        <w:t>0</w:t>
      </w:r>
    </w:p>
    <w:p w:rsidR="00961DFA" w:rsidRDefault="00961DFA" w:rsidP="00961DFA">
      <w:pPr>
        <w:pStyle w:val="Kimsheading"/>
        <w:rPr>
          <w:rFonts w:ascii="Arial" w:hAnsi="Arial" w:cs="Arial"/>
          <w:sz w:val="20"/>
          <w:szCs w:val="20"/>
        </w:rPr>
      </w:pPr>
      <w:r>
        <w:rPr>
          <w:rFonts w:ascii="Arial" w:hAnsi="Arial" w:cs="Arial"/>
          <w:sz w:val="20"/>
          <w:szCs w:val="20"/>
        </w:rPr>
        <w:t>SPECIFIC UNIT GOALS</w:t>
      </w:r>
    </w:p>
    <w:tbl>
      <w:tblPr>
        <w:tblW w:w="9479" w:type="dxa"/>
        <w:jc w:val="center"/>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59"/>
        <w:gridCol w:w="4520"/>
      </w:tblGrid>
      <w:tr w:rsidR="00961DFA" w:rsidRPr="00C66951">
        <w:trPr>
          <w:trHeight w:val="296"/>
          <w:jc w:val="center"/>
        </w:trPr>
        <w:tc>
          <w:tcPr>
            <w:tcW w:w="4959" w:type="dxa"/>
          </w:tcPr>
          <w:p w:rsidR="00961DFA" w:rsidRPr="00C66951" w:rsidRDefault="00961DFA" w:rsidP="005E1428">
            <w:r w:rsidRPr="00C66951">
              <w:t>This A unit should enable students to:</w:t>
            </w:r>
          </w:p>
        </w:tc>
        <w:tc>
          <w:tcPr>
            <w:tcW w:w="4520" w:type="dxa"/>
          </w:tcPr>
          <w:p w:rsidR="00961DFA" w:rsidRPr="00C66951" w:rsidRDefault="00961DFA" w:rsidP="005E1428">
            <w:r w:rsidRPr="00C66951">
              <w:t>This T unit should enable students to:</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identify structural features of analysis methods and algorithms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apply analysis methods and descriptive algorithms to solve simple and complex problems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apply basic analysis methods and descriptive algorithms to solve simple problems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develop simple and complex algorithms using at least two methods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develop basic algorithms using a specified method and use error checking methods 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common syntax features and simple data types to write structured programs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simple syntax features and simple data types to write structured programs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constructs of sequence, selection and iteration to solve simple and complex programming problems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constructs of sequence, selection and iteration to solve simple programming problems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demonstrate the use of complex Boolean expressions in programming solutions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demonstrate the use of Boolean expressions in programming solutions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design and code programs using nested loops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design and code programs using nested loops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variables, constants and simple I/O operations in programs</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variables, constants and simple I/O operations in programs</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a development environment to create, retrieve, modify, save and execute a program</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use a development environment to create, retrieve, modify, save and execute a program</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apply the rules and practices of good intrinsic, internal and external documentation</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apply the rules and practices of good internal and external documentation</w:t>
            </w:r>
          </w:p>
        </w:tc>
        <w:tc>
          <w:tcPr>
            <w:tcW w:w="4520"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work cooperatively to solve problems</w:t>
            </w:r>
          </w:p>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create user documentation.</w:t>
            </w:r>
          </w:p>
        </w:tc>
      </w:tr>
      <w:tr w:rsidR="00961DFA" w:rsidRPr="00C66951">
        <w:trPr>
          <w:jc w:val="center"/>
        </w:trPr>
        <w:tc>
          <w:tcPr>
            <w:tcW w:w="4959" w:type="dxa"/>
          </w:tcPr>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work cooperatively to solve problems</w:t>
            </w:r>
          </w:p>
          <w:p w:rsidR="00961DFA" w:rsidRPr="00C66951" w:rsidRDefault="00961DFA" w:rsidP="005E1428">
            <w:pPr>
              <w:pStyle w:val="Listbullettable"/>
              <w:numPr>
                <w:ilvl w:val="0"/>
                <w:numId w:val="30"/>
              </w:numPr>
              <w:rPr>
                <w:rFonts w:ascii="Arial" w:hAnsi="Arial" w:cs="Arial"/>
                <w:sz w:val="20"/>
                <w:szCs w:val="20"/>
              </w:rPr>
            </w:pPr>
            <w:r w:rsidRPr="00C66951">
              <w:rPr>
                <w:rFonts w:ascii="Arial" w:hAnsi="Arial" w:cs="Arial"/>
                <w:sz w:val="20"/>
                <w:szCs w:val="20"/>
              </w:rPr>
              <w:t>create user documentation.</w:t>
            </w:r>
          </w:p>
        </w:tc>
        <w:tc>
          <w:tcPr>
            <w:tcW w:w="4520" w:type="dxa"/>
          </w:tcPr>
          <w:p w:rsidR="00961DFA" w:rsidRPr="00C66951" w:rsidRDefault="00961DFA" w:rsidP="005E1428">
            <w:pPr>
              <w:pStyle w:val="Listbullettable"/>
              <w:numPr>
                <w:ilvl w:val="0"/>
                <w:numId w:val="0"/>
              </w:numPr>
              <w:ind w:left="720" w:hanging="360"/>
              <w:rPr>
                <w:rFonts w:ascii="Arial" w:hAnsi="Arial" w:cs="Arial"/>
                <w:sz w:val="20"/>
                <w:szCs w:val="20"/>
              </w:rPr>
            </w:pPr>
          </w:p>
        </w:tc>
      </w:tr>
    </w:tbl>
    <w:p w:rsidR="00670767" w:rsidRPr="00670767" w:rsidRDefault="00670767" w:rsidP="00670767">
      <w:pPr>
        <w:pStyle w:val="Header"/>
        <w:tabs>
          <w:tab w:val="clear" w:pos="4153"/>
          <w:tab w:val="clear" w:pos="8306"/>
        </w:tabs>
        <w:rPr>
          <w:sz w:val="24"/>
          <w:szCs w:val="24"/>
        </w:rPr>
      </w:pPr>
    </w:p>
    <w:p w:rsidR="00961DFA" w:rsidRDefault="00961DFA" w:rsidP="00961DFA">
      <w:pPr>
        <w:pStyle w:val="Kimsheading"/>
        <w:rPr>
          <w:rFonts w:ascii="Arial" w:hAnsi="Arial" w:cs="Arial"/>
          <w:sz w:val="20"/>
          <w:szCs w:val="20"/>
        </w:rPr>
      </w:pPr>
      <w:r>
        <w:rPr>
          <w:rFonts w:ascii="Arial" w:hAnsi="Arial" w:cs="Arial"/>
          <w:sz w:val="20"/>
          <w:szCs w:val="20"/>
        </w:rPr>
        <w:t>Unit Content</w:t>
      </w:r>
    </w:p>
    <w:p w:rsidR="00961DFA" w:rsidRDefault="00961DFA" w:rsidP="00961DFA">
      <w:pPr>
        <w:numPr>
          <w:ilvl w:val="12"/>
          <w:numId w:val="0"/>
        </w:numPr>
        <w:rPr>
          <w:b/>
          <w:bCs/>
        </w:rPr>
      </w:pPr>
      <w:r>
        <w:rPr>
          <w:b/>
          <w:bCs/>
        </w:rPr>
        <w:t>This is a guide to the units of competence that may be assessed concurrently with this unit.</w:t>
      </w:r>
    </w:p>
    <w:tbl>
      <w:tblPr>
        <w:tblW w:w="10803" w:type="dxa"/>
        <w:tblLayout w:type="fixed"/>
        <w:tblCellMar>
          <w:left w:w="30" w:type="dxa"/>
          <w:right w:w="30" w:type="dxa"/>
        </w:tblCellMar>
        <w:tblLook w:val="0000"/>
      </w:tblPr>
      <w:tblGrid>
        <w:gridCol w:w="1448"/>
        <w:gridCol w:w="6379"/>
        <w:gridCol w:w="850"/>
        <w:gridCol w:w="2126"/>
      </w:tblGrid>
      <w:tr w:rsidR="00961DFA">
        <w:trPr>
          <w:trHeight w:val="250"/>
        </w:trPr>
        <w:tc>
          <w:tcPr>
            <w:tcW w:w="1448" w:type="dxa"/>
            <w:tcBorders>
              <w:top w:val="single" w:sz="6" w:space="0" w:color="auto"/>
              <w:left w:val="single" w:sz="6" w:space="0" w:color="auto"/>
              <w:bottom w:val="single" w:sz="6" w:space="0" w:color="auto"/>
              <w:right w:val="single" w:sz="6" w:space="0" w:color="auto"/>
            </w:tcBorders>
          </w:tcPr>
          <w:p w:rsidR="00961DFA" w:rsidRDefault="00961DFA" w:rsidP="005E1428">
            <w:pPr>
              <w:numPr>
                <w:ilvl w:val="12"/>
                <w:numId w:val="0"/>
              </w:numPr>
              <w:rPr>
                <w:b/>
                <w:bCs/>
                <w:color w:val="000000"/>
                <w:lang w:val="en-US"/>
              </w:rPr>
            </w:pPr>
            <w:r>
              <w:rPr>
                <w:b/>
                <w:bCs/>
                <w:color w:val="000000"/>
                <w:lang w:val="en-US"/>
              </w:rPr>
              <w:t>Unit code</w:t>
            </w:r>
          </w:p>
        </w:tc>
        <w:tc>
          <w:tcPr>
            <w:tcW w:w="6379" w:type="dxa"/>
            <w:tcBorders>
              <w:top w:val="single" w:sz="6" w:space="0" w:color="auto"/>
              <w:left w:val="single" w:sz="6" w:space="0" w:color="auto"/>
              <w:bottom w:val="single" w:sz="6" w:space="0" w:color="auto"/>
              <w:right w:val="single" w:sz="6" w:space="0" w:color="auto"/>
            </w:tcBorders>
          </w:tcPr>
          <w:p w:rsidR="00961DFA" w:rsidRDefault="00961DFA" w:rsidP="005E1428">
            <w:pPr>
              <w:numPr>
                <w:ilvl w:val="12"/>
                <w:numId w:val="0"/>
              </w:numPr>
              <w:rPr>
                <w:b/>
                <w:bCs/>
                <w:color w:val="000000"/>
                <w:lang w:val="en-US"/>
              </w:rPr>
            </w:pPr>
            <w:r>
              <w:rPr>
                <w:b/>
                <w:bCs/>
                <w:color w:val="000000"/>
                <w:lang w:val="en-US"/>
              </w:rPr>
              <w:t>Unit of competence</w:t>
            </w:r>
          </w:p>
        </w:tc>
        <w:tc>
          <w:tcPr>
            <w:tcW w:w="850" w:type="dxa"/>
            <w:tcBorders>
              <w:top w:val="single" w:sz="6" w:space="0" w:color="auto"/>
              <w:left w:val="single" w:sz="6" w:space="0" w:color="auto"/>
              <w:bottom w:val="single" w:sz="6" w:space="0" w:color="auto"/>
              <w:right w:val="single" w:sz="6" w:space="0" w:color="auto"/>
            </w:tcBorders>
          </w:tcPr>
          <w:p w:rsidR="00961DFA" w:rsidRDefault="00961DFA" w:rsidP="005E1428">
            <w:pPr>
              <w:numPr>
                <w:ilvl w:val="12"/>
                <w:numId w:val="0"/>
              </w:numPr>
              <w:rPr>
                <w:b/>
                <w:bCs/>
                <w:color w:val="000000"/>
                <w:lang w:val="en-US"/>
              </w:rPr>
            </w:pPr>
            <w:r>
              <w:rPr>
                <w:b/>
                <w:bCs/>
                <w:color w:val="000000"/>
                <w:lang w:val="en-US"/>
              </w:rPr>
              <w:t>C / E / F</w:t>
            </w:r>
          </w:p>
        </w:tc>
        <w:tc>
          <w:tcPr>
            <w:tcW w:w="2126" w:type="dxa"/>
            <w:tcBorders>
              <w:top w:val="single" w:sz="6" w:space="0" w:color="auto"/>
              <w:left w:val="single" w:sz="6" w:space="0" w:color="auto"/>
              <w:bottom w:val="single" w:sz="6" w:space="0" w:color="auto"/>
              <w:right w:val="single" w:sz="6" w:space="0" w:color="auto"/>
            </w:tcBorders>
          </w:tcPr>
          <w:p w:rsidR="00961DFA" w:rsidRDefault="00961DFA" w:rsidP="005E1428">
            <w:pPr>
              <w:numPr>
                <w:ilvl w:val="12"/>
                <w:numId w:val="0"/>
              </w:numPr>
              <w:rPr>
                <w:b/>
                <w:bCs/>
                <w:color w:val="000000"/>
                <w:lang w:val="en-US"/>
              </w:rPr>
            </w:pPr>
            <w:r>
              <w:rPr>
                <w:b/>
                <w:bCs/>
                <w:color w:val="000000"/>
                <w:lang w:val="en-US"/>
              </w:rPr>
              <w:t>Comp Assessment</w:t>
            </w:r>
          </w:p>
        </w:tc>
      </w:tr>
      <w:tr w:rsidR="00961DFA" w:rsidRPr="006C062C">
        <w:trPr>
          <w:cantSplit/>
          <w:trHeight w:val="250"/>
        </w:trPr>
        <w:tc>
          <w:tcPr>
            <w:tcW w:w="1448" w:type="dxa"/>
            <w:tcBorders>
              <w:top w:val="nil"/>
              <w:left w:val="single" w:sz="6" w:space="0" w:color="auto"/>
              <w:bottom w:val="single" w:sz="6" w:space="0" w:color="auto"/>
              <w:right w:val="single" w:sz="6" w:space="0" w:color="auto"/>
            </w:tcBorders>
          </w:tcPr>
          <w:p w:rsidR="00961DFA" w:rsidRPr="006C062C" w:rsidRDefault="00961DFA" w:rsidP="005E1428">
            <w:pPr>
              <w:pStyle w:val="PMLQFUoC"/>
              <w:spacing w:before="0" w:after="0"/>
              <w:rPr>
                <w:rFonts w:cs="Arial"/>
              </w:rPr>
            </w:pPr>
            <w:r w:rsidRPr="006C062C">
              <w:rPr>
                <w:rFonts w:cs="Arial"/>
              </w:rPr>
              <w:t>BSBCMN106B</w:t>
            </w:r>
          </w:p>
        </w:tc>
        <w:tc>
          <w:tcPr>
            <w:tcW w:w="6379" w:type="dxa"/>
            <w:tcBorders>
              <w:top w:val="nil"/>
              <w:left w:val="single" w:sz="6" w:space="0" w:color="auto"/>
              <w:bottom w:val="single" w:sz="6" w:space="0" w:color="auto"/>
              <w:right w:val="single" w:sz="6" w:space="0" w:color="auto"/>
            </w:tcBorders>
          </w:tcPr>
          <w:p w:rsidR="00961DFA" w:rsidRPr="006C062C" w:rsidRDefault="00961DFA" w:rsidP="005E1428">
            <w:pPr>
              <w:pStyle w:val="PMLQFUoC"/>
              <w:spacing w:before="0" w:after="0"/>
              <w:rPr>
                <w:rFonts w:cs="Arial"/>
              </w:rPr>
            </w:pPr>
            <w:r w:rsidRPr="006C062C">
              <w:rPr>
                <w:rFonts w:cs="Arial"/>
              </w:rPr>
              <w:t>Follow workplace safety procedures</w:t>
            </w:r>
          </w:p>
        </w:tc>
        <w:tc>
          <w:tcPr>
            <w:tcW w:w="850" w:type="dxa"/>
            <w:tcBorders>
              <w:top w:val="nil"/>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t>Core</w:t>
            </w:r>
          </w:p>
        </w:tc>
        <w:tc>
          <w:tcPr>
            <w:tcW w:w="2126" w:type="dxa"/>
            <w:tcBorders>
              <w:top w:val="nil"/>
              <w:left w:val="single" w:sz="6" w:space="0" w:color="auto"/>
              <w:bottom w:val="single" w:sz="6" w:space="0" w:color="auto"/>
              <w:right w:val="single" w:sz="6" w:space="0" w:color="auto"/>
            </w:tcBorders>
            <w:vAlign w:val="center"/>
          </w:tcPr>
          <w:p w:rsidR="00961DFA" w:rsidRPr="006C062C" w:rsidRDefault="00961DFA" w:rsidP="005E1428">
            <w:pPr>
              <w:numPr>
                <w:ilvl w:val="12"/>
                <w:numId w:val="0"/>
              </w:numPr>
              <w:ind w:left="142"/>
              <w:rPr>
                <w:color w:val="000000"/>
              </w:rPr>
            </w:pPr>
            <w:r>
              <w:rPr>
                <w:color w:val="000000"/>
              </w:rPr>
              <w:t>O – Voc Placement</w:t>
            </w:r>
          </w:p>
        </w:tc>
      </w:tr>
      <w:tr w:rsidR="00961DFA" w:rsidRPr="006C062C">
        <w:trPr>
          <w:cantSplit/>
          <w:trHeight w:val="250"/>
        </w:trPr>
        <w:tc>
          <w:tcPr>
            <w:tcW w:w="1448"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pStyle w:val="PMLQFUoC"/>
              <w:spacing w:before="0" w:after="0"/>
              <w:rPr>
                <w:rFonts w:cs="Arial"/>
              </w:rPr>
            </w:pPr>
            <w:r w:rsidRPr="006C062C">
              <w:rPr>
                <w:rFonts w:cs="Arial"/>
              </w:rPr>
              <w:t>ICAD2012B</w:t>
            </w:r>
          </w:p>
        </w:tc>
        <w:tc>
          <w:tcPr>
            <w:tcW w:w="6379"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pStyle w:val="PMLQFUoC"/>
              <w:spacing w:before="0" w:after="0"/>
              <w:rPr>
                <w:rFonts w:cs="Arial"/>
              </w:rPr>
            </w:pPr>
            <w:r w:rsidRPr="006C062C">
              <w:rPr>
                <w:rFonts w:cs="Arial"/>
              </w:rPr>
              <w:t>Design organisational documents using computer packages</w:t>
            </w:r>
          </w:p>
        </w:tc>
        <w:tc>
          <w:tcPr>
            <w:tcW w:w="850"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pPr>
            <w:r w:rsidRPr="006C062C">
              <w:t>Core</w:t>
            </w:r>
          </w:p>
        </w:tc>
        <w:tc>
          <w:tcPr>
            <w:tcW w:w="2126" w:type="dxa"/>
            <w:tcBorders>
              <w:top w:val="single" w:sz="6" w:space="0" w:color="auto"/>
              <w:left w:val="single" w:sz="6" w:space="0" w:color="auto"/>
              <w:bottom w:val="single" w:sz="6" w:space="0" w:color="auto"/>
              <w:right w:val="single" w:sz="6" w:space="0" w:color="auto"/>
            </w:tcBorders>
            <w:vAlign w:val="center"/>
          </w:tcPr>
          <w:p w:rsidR="00961DFA" w:rsidRPr="006C062C" w:rsidRDefault="00961DFA" w:rsidP="005E1428">
            <w:pPr>
              <w:numPr>
                <w:ilvl w:val="12"/>
                <w:numId w:val="0"/>
              </w:numPr>
              <w:ind w:left="142"/>
              <w:rPr>
                <w:color w:val="000000"/>
              </w:rPr>
            </w:pPr>
            <w:r>
              <w:rPr>
                <w:color w:val="000000"/>
              </w:rPr>
              <w:t>P</w:t>
            </w:r>
          </w:p>
        </w:tc>
      </w:tr>
      <w:tr w:rsidR="00961DFA" w:rsidRPr="006C062C">
        <w:trPr>
          <w:cantSplit/>
          <w:trHeight w:val="250"/>
        </w:trPr>
        <w:tc>
          <w:tcPr>
            <w:tcW w:w="1448"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ICAD3218B</w:t>
            </w:r>
          </w:p>
        </w:tc>
        <w:tc>
          <w:tcPr>
            <w:tcW w:w="6379"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Create user documentation</w:t>
            </w:r>
          </w:p>
        </w:tc>
        <w:tc>
          <w:tcPr>
            <w:tcW w:w="850"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Elective</w:t>
            </w:r>
          </w:p>
        </w:tc>
        <w:tc>
          <w:tcPr>
            <w:tcW w:w="2126" w:type="dxa"/>
            <w:tcBorders>
              <w:top w:val="single" w:sz="6" w:space="0" w:color="auto"/>
              <w:left w:val="single" w:sz="6" w:space="0" w:color="auto"/>
              <w:bottom w:val="single" w:sz="6" w:space="0" w:color="auto"/>
              <w:right w:val="single" w:sz="6" w:space="0" w:color="auto"/>
            </w:tcBorders>
            <w:vAlign w:val="center"/>
          </w:tcPr>
          <w:p w:rsidR="00961DFA" w:rsidRPr="006C062C" w:rsidRDefault="00961DFA" w:rsidP="005E1428">
            <w:pPr>
              <w:numPr>
                <w:ilvl w:val="12"/>
                <w:numId w:val="0"/>
              </w:numPr>
              <w:ind w:left="142"/>
              <w:rPr>
                <w:color w:val="000000"/>
              </w:rPr>
            </w:pPr>
            <w:r>
              <w:rPr>
                <w:color w:val="000000"/>
              </w:rPr>
              <w:t>P</w:t>
            </w:r>
          </w:p>
        </w:tc>
      </w:tr>
      <w:tr w:rsidR="00961DFA" w:rsidRPr="006C062C">
        <w:trPr>
          <w:cantSplit/>
          <w:trHeight w:val="250"/>
        </w:trPr>
        <w:tc>
          <w:tcPr>
            <w:tcW w:w="1448"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ICAU1128B</w:t>
            </w:r>
          </w:p>
        </w:tc>
        <w:tc>
          <w:tcPr>
            <w:tcW w:w="6379"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Operate a personal computer</w:t>
            </w:r>
          </w:p>
        </w:tc>
        <w:tc>
          <w:tcPr>
            <w:tcW w:w="850"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Elective</w:t>
            </w:r>
          </w:p>
        </w:tc>
        <w:tc>
          <w:tcPr>
            <w:tcW w:w="2126" w:type="dxa"/>
            <w:tcBorders>
              <w:top w:val="single" w:sz="6" w:space="0" w:color="auto"/>
              <w:left w:val="single" w:sz="6" w:space="0" w:color="auto"/>
              <w:bottom w:val="single" w:sz="6" w:space="0" w:color="auto"/>
              <w:right w:val="single" w:sz="6" w:space="0" w:color="auto"/>
            </w:tcBorders>
            <w:vAlign w:val="center"/>
          </w:tcPr>
          <w:p w:rsidR="00961DFA" w:rsidRPr="006C062C" w:rsidRDefault="00961DFA" w:rsidP="005E1428">
            <w:pPr>
              <w:numPr>
                <w:ilvl w:val="12"/>
                <w:numId w:val="0"/>
              </w:numPr>
              <w:ind w:left="142"/>
              <w:rPr>
                <w:color w:val="000000"/>
              </w:rPr>
            </w:pPr>
            <w:r>
              <w:rPr>
                <w:color w:val="000000"/>
              </w:rPr>
              <w:t>OBS</w:t>
            </w:r>
          </w:p>
        </w:tc>
      </w:tr>
      <w:tr w:rsidR="00961DFA" w:rsidRPr="006C062C">
        <w:trPr>
          <w:cantSplit/>
          <w:trHeight w:val="250"/>
        </w:trPr>
        <w:tc>
          <w:tcPr>
            <w:tcW w:w="1448"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ICAW2011B</w:t>
            </w:r>
          </w:p>
        </w:tc>
        <w:tc>
          <w:tcPr>
            <w:tcW w:w="6379"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Work individually or as a team member to achieve organisational goals</w:t>
            </w:r>
          </w:p>
        </w:tc>
        <w:tc>
          <w:tcPr>
            <w:tcW w:w="850" w:type="dxa"/>
            <w:tcBorders>
              <w:top w:val="single" w:sz="6" w:space="0" w:color="auto"/>
              <w:left w:val="single" w:sz="6" w:space="0" w:color="auto"/>
              <w:bottom w:val="single" w:sz="6" w:space="0" w:color="auto"/>
              <w:right w:val="single" w:sz="6" w:space="0" w:color="auto"/>
            </w:tcBorders>
          </w:tcPr>
          <w:p w:rsidR="00961DFA" w:rsidRPr="006C062C" w:rsidRDefault="00961DFA" w:rsidP="005E1428">
            <w:pPr>
              <w:numPr>
                <w:ilvl w:val="12"/>
                <w:numId w:val="0"/>
              </w:numPr>
              <w:rPr>
                <w:color w:val="000000"/>
              </w:rPr>
            </w:pPr>
            <w:r w:rsidRPr="006C062C">
              <w:rPr>
                <w:color w:val="000000"/>
              </w:rPr>
              <w:t>Elective</w:t>
            </w:r>
          </w:p>
        </w:tc>
        <w:tc>
          <w:tcPr>
            <w:tcW w:w="2126" w:type="dxa"/>
            <w:tcBorders>
              <w:top w:val="single" w:sz="6" w:space="0" w:color="auto"/>
              <w:left w:val="single" w:sz="6" w:space="0" w:color="auto"/>
              <w:bottom w:val="single" w:sz="6" w:space="0" w:color="auto"/>
              <w:right w:val="single" w:sz="6" w:space="0" w:color="auto"/>
            </w:tcBorders>
            <w:vAlign w:val="center"/>
          </w:tcPr>
          <w:p w:rsidR="00961DFA" w:rsidRPr="006C062C" w:rsidRDefault="00961DFA" w:rsidP="005E1428">
            <w:pPr>
              <w:numPr>
                <w:ilvl w:val="12"/>
                <w:numId w:val="0"/>
              </w:numPr>
              <w:ind w:left="142"/>
              <w:rPr>
                <w:color w:val="000000"/>
              </w:rPr>
            </w:pPr>
            <w:r>
              <w:rPr>
                <w:color w:val="000000"/>
              </w:rPr>
              <w:t>P, PA</w:t>
            </w:r>
          </w:p>
        </w:tc>
      </w:tr>
    </w:tbl>
    <w:p w:rsidR="00961DFA" w:rsidRDefault="00961DFA" w:rsidP="00961DFA">
      <w:pPr>
        <w:pStyle w:val="Footer"/>
        <w:tabs>
          <w:tab w:val="clear" w:pos="4153"/>
          <w:tab w:val="clear" w:pos="8306"/>
          <w:tab w:val="right" w:pos="15026"/>
        </w:tabs>
        <w:rPr>
          <w:rFonts w:ascii="Trebuchet MS" w:hAnsi="Trebuchet MS" w:cs="Trebuchet MS"/>
          <w:b/>
          <w:bCs/>
          <w:color w:val="000000"/>
          <w:sz w:val="14"/>
          <w:szCs w:val="14"/>
        </w:rPr>
      </w:pPr>
    </w:p>
    <w:p w:rsidR="00961DFA" w:rsidRDefault="00961DFA" w:rsidP="00961DFA">
      <w:pPr>
        <w:pStyle w:val="Footer"/>
        <w:tabs>
          <w:tab w:val="clear" w:pos="4153"/>
          <w:tab w:val="clear" w:pos="8306"/>
          <w:tab w:val="right" w:pos="15026"/>
        </w:tabs>
        <w:rPr>
          <w:rFonts w:ascii="Trebuchet MS" w:hAnsi="Trebuchet MS" w:cs="Trebuchet MS"/>
          <w:color w:val="000000"/>
          <w:sz w:val="16"/>
          <w:szCs w:val="16"/>
        </w:rPr>
      </w:pPr>
      <w:r>
        <w:rPr>
          <w:rFonts w:ascii="Trebuchet MS" w:hAnsi="Trebuchet MS" w:cs="Trebuchet MS"/>
          <w:b/>
          <w:bCs/>
          <w:color w:val="000000"/>
          <w:sz w:val="14"/>
          <w:szCs w:val="14"/>
        </w:rPr>
        <w:t xml:space="preserve">Competency </w:t>
      </w:r>
      <w:r>
        <w:rPr>
          <w:rFonts w:ascii="Trebuchet MS" w:hAnsi="Trebuchet MS" w:cs="Trebuchet MS"/>
          <w:b/>
          <w:bCs/>
          <w:color w:val="000000"/>
          <w:sz w:val="16"/>
          <w:szCs w:val="16"/>
        </w:rPr>
        <w:t>Assessment Method ;</w:t>
      </w:r>
      <w:r>
        <w:rPr>
          <w:rFonts w:ascii="Trebuchet MS" w:hAnsi="Trebuchet MS" w:cs="Trebuchet MS"/>
          <w:color w:val="000000"/>
          <w:sz w:val="16"/>
          <w:szCs w:val="16"/>
        </w:rPr>
        <w:t xml:space="preserve"> P-Project; PF-Portfolio; PD-Practical Demonstration; PA-Practical Activity; KBA-Knowledge Based Assessment; OBS-Observation; O Other (specified)</w:t>
      </w:r>
    </w:p>
    <w:p w:rsidR="00961DFA" w:rsidRDefault="00961DFA" w:rsidP="00961DFA">
      <w:pPr>
        <w:pStyle w:val="Header"/>
        <w:tabs>
          <w:tab w:val="clear" w:pos="4153"/>
          <w:tab w:val="clear" w:pos="8306"/>
        </w:tabs>
        <w:rPr>
          <w:sz w:val="24"/>
          <w:szCs w:val="24"/>
        </w:rPr>
      </w:pPr>
    </w:p>
    <w:p w:rsidR="00961DFA" w:rsidRDefault="00961DFA" w:rsidP="00961DFA">
      <w:pPr>
        <w:pStyle w:val="Kimsheading"/>
        <w:rPr>
          <w:rFonts w:ascii="Arial" w:hAnsi="Arial" w:cs="Arial"/>
          <w:sz w:val="20"/>
          <w:szCs w:val="20"/>
        </w:rPr>
      </w:pPr>
      <w:r w:rsidRPr="00670767">
        <w:rPr>
          <w:rFonts w:ascii="Arial" w:eastAsia="Times New Roman" w:hAnsi="Arial" w:cs="Arial"/>
          <w:b w:val="0"/>
          <w:bCs w:val="0"/>
          <w:caps w:val="0"/>
          <w:lang w:eastAsia="en-US"/>
        </w:rPr>
        <w:br w:type="page"/>
      </w:r>
      <w:r>
        <w:rPr>
          <w:rFonts w:ascii="Arial" w:hAnsi="Arial" w:cs="Arial"/>
          <w:sz w:val="20"/>
          <w:szCs w:val="20"/>
        </w:rPr>
        <w:lastRenderedPageBreak/>
        <w:t>Assessment Items</w:t>
      </w:r>
    </w:p>
    <w:p w:rsidR="00961DFA" w:rsidRDefault="00961DFA" w:rsidP="00961DFA">
      <w:pPr>
        <w:numPr>
          <w:ilvl w:val="12"/>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395"/>
        <w:gridCol w:w="1984"/>
        <w:gridCol w:w="3260"/>
      </w:tblGrid>
      <w:tr w:rsidR="00961DFA">
        <w:trPr>
          <w:trHeight w:hRule="exact" w:val="360"/>
        </w:trPr>
        <w:tc>
          <w:tcPr>
            <w:tcW w:w="4395" w:type="dxa"/>
            <w:shd w:val="pct5" w:color="auto" w:fill="FFFFFF"/>
          </w:tcPr>
          <w:p w:rsidR="00961DFA" w:rsidRDefault="00961DFA" w:rsidP="005E1428">
            <w:pPr>
              <w:numPr>
                <w:ilvl w:val="12"/>
                <w:numId w:val="0"/>
              </w:numPr>
              <w:rPr>
                <w:b/>
                <w:bCs/>
              </w:rPr>
            </w:pPr>
            <w:r>
              <w:rPr>
                <w:b/>
                <w:bCs/>
              </w:rPr>
              <w:t>Item</w:t>
            </w:r>
          </w:p>
        </w:tc>
        <w:tc>
          <w:tcPr>
            <w:tcW w:w="1984" w:type="dxa"/>
            <w:shd w:val="pct5" w:color="auto" w:fill="FFFFFF"/>
          </w:tcPr>
          <w:p w:rsidR="00961DFA" w:rsidRDefault="00961DFA" w:rsidP="005E1428">
            <w:pPr>
              <w:numPr>
                <w:ilvl w:val="12"/>
                <w:numId w:val="0"/>
              </w:numPr>
              <w:jc w:val="center"/>
              <w:rPr>
                <w:b/>
                <w:bCs/>
              </w:rPr>
            </w:pPr>
            <w:r>
              <w:rPr>
                <w:b/>
                <w:bCs/>
              </w:rPr>
              <w:t>Weighting</w:t>
            </w:r>
          </w:p>
        </w:tc>
        <w:tc>
          <w:tcPr>
            <w:tcW w:w="3260" w:type="dxa"/>
            <w:shd w:val="pct5" w:color="auto" w:fill="FFFFFF"/>
          </w:tcPr>
          <w:p w:rsidR="00961DFA" w:rsidRDefault="00961DFA" w:rsidP="005E1428">
            <w:pPr>
              <w:pStyle w:val="Heading7"/>
              <w:numPr>
                <w:ilvl w:val="12"/>
                <w:numId w:val="0"/>
              </w:numPr>
              <w:autoSpaceDE w:val="0"/>
              <w:autoSpaceDN w:val="0"/>
              <w:spacing w:line="360" w:lineRule="auto"/>
              <w:rPr>
                <w:rFonts w:cs="Arial"/>
                <w:sz w:val="20"/>
              </w:rPr>
            </w:pPr>
            <w:r>
              <w:rPr>
                <w:rFonts w:cs="Arial"/>
                <w:sz w:val="20"/>
              </w:rPr>
              <w:t>Due</w:t>
            </w:r>
          </w:p>
        </w:tc>
      </w:tr>
      <w:tr w:rsidR="00961DFA">
        <w:trPr>
          <w:trHeight w:hRule="exact" w:val="442"/>
        </w:trPr>
        <w:tc>
          <w:tcPr>
            <w:tcW w:w="4395" w:type="dxa"/>
            <w:vAlign w:val="center"/>
          </w:tcPr>
          <w:p w:rsidR="00961DFA" w:rsidRDefault="00961DFA" w:rsidP="005E1428">
            <w:pPr>
              <w:numPr>
                <w:ilvl w:val="12"/>
                <w:numId w:val="0"/>
              </w:numPr>
              <w:spacing w:line="360" w:lineRule="auto"/>
            </w:pPr>
            <w:r>
              <w:t>Flash Game Program Individual Assignment</w:t>
            </w:r>
          </w:p>
        </w:tc>
        <w:tc>
          <w:tcPr>
            <w:tcW w:w="1984" w:type="dxa"/>
          </w:tcPr>
          <w:p w:rsidR="00961DFA" w:rsidRDefault="00961DFA" w:rsidP="005E1428">
            <w:pPr>
              <w:numPr>
                <w:ilvl w:val="12"/>
                <w:numId w:val="0"/>
              </w:numPr>
              <w:jc w:val="center"/>
            </w:pPr>
            <w:r>
              <w:t>2</w:t>
            </w:r>
            <w:r w:rsidR="00703181">
              <w:t>0</w:t>
            </w:r>
            <w:r>
              <w:t>%</w:t>
            </w:r>
          </w:p>
        </w:tc>
        <w:tc>
          <w:tcPr>
            <w:tcW w:w="3260" w:type="dxa"/>
          </w:tcPr>
          <w:p w:rsidR="00961DFA" w:rsidRDefault="00961DFA" w:rsidP="005E1428">
            <w:pPr>
              <w:pStyle w:val="Header"/>
              <w:numPr>
                <w:ilvl w:val="12"/>
                <w:numId w:val="0"/>
              </w:numPr>
              <w:tabs>
                <w:tab w:val="clear" w:pos="4153"/>
                <w:tab w:val="clear" w:pos="8306"/>
              </w:tabs>
            </w:pPr>
            <w:r>
              <w:t>Week 8</w:t>
            </w:r>
          </w:p>
        </w:tc>
      </w:tr>
      <w:tr w:rsidR="00961DFA">
        <w:trPr>
          <w:trHeight w:hRule="exact" w:val="360"/>
        </w:trPr>
        <w:tc>
          <w:tcPr>
            <w:tcW w:w="4395" w:type="dxa"/>
            <w:vAlign w:val="center"/>
          </w:tcPr>
          <w:p w:rsidR="00961DFA" w:rsidRDefault="00961DFA" w:rsidP="005E1428">
            <w:pPr>
              <w:numPr>
                <w:ilvl w:val="12"/>
                <w:numId w:val="0"/>
              </w:numPr>
              <w:spacing w:line="360" w:lineRule="auto"/>
            </w:pPr>
            <w:r>
              <w:t>Flash Game Program Group Assignment</w:t>
            </w:r>
          </w:p>
        </w:tc>
        <w:tc>
          <w:tcPr>
            <w:tcW w:w="1984" w:type="dxa"/>
          </w:tcPr>
          <w:p w:rsidR="00961DFA" w:rsidRDefault="00703181" w:rsidP="005E1428">
            <w:pPr>
              <w:numPr>
                <w:ilvl w:val="12"/>
                <w:numId w:val="0"/>
              </w:numPr>
              <w:jc w:val="center"/>
            </w:pPr>
            <w:r>
              <w:t>40</w:t>
            </w:r>
            <w:r w:rsidR="00961DFA">
              <w:t>%</w:t>
            </w:r>
          </w:p>
        </w:tc>
        <w:tc>
          <w:tcPr>
            <w:tcW w:w="3260" w:type="dxa"/>
          </w:tcPr>
          <w:p w:rsidR="00961DFA" w:rsidRDefault="00961DFA" w:rsidP="005E1428">
            <w:pPr>
              <w:numPr>
                <w:ilvl w:val="12"/>
                <w:numId w:val="0"/>
              </w:numPr>
            </w:pPr>
            <w:r>
              <w:t xml:space="preserve">Week </w:t>
            </w:r>
            <w:r w:rsidR="0042216D">
              <w:t>16</w:t>
            </w:r>
          </w:p>
        </w:tc>
      </w:tr>
      <w:tr w:rsidR="00961DFA">
        <w:trPr>
          <w:trHeight w:hRule="exact" w:val="360"/>
        </w:trPr>
        <w:tc>
          <w:tcPr>
            <w:tcW w:w="4395" w:type="dxa"/>
            <w:vAlign w:val="center"/>
          </w:tcPr>
          <w:p w:rsidR="00961DFA" w:rsidRDefault="00961DFA" w:rsidP="005E1428">
            <w:pPr>
              <w:numPr>
                <w:ilvl w:val="12"/>
                <w:numId w:val="0"/>
              </w:numPr>
              <w:spacing w:line="360" w:lineRule="auto"/>
            </w:pPr>
            <w:r>
              <w:t xml:space="preserve">Flash Game </w:t>
            </w:r>
            <w:r w:rsidR="0042216D">
              <w:t xml:space="preserve">Program Practical </w:t>
            </w:r>
            <w:r>
              <w:t>Test</w:t>
            </w:r>
          </w:p>
        </w:tc>
        <w:tc>
          <w:tcPr>
            <w:tcW w:w="1984" w:type="dxa"/>
          </w:tcPr>
          <w:p w:rsidR="00961DFA" w:rsidRPr="00B65513" w:rsidRDefault="00703181" w:rsidP="005E1428">
            <w:pPr>
              <w:numPr>
                <w:ilvl w:val="12"/>
                <w:numId w:val="0"/>
              </w:numPr>
              <w:jc w:val="center"/>
            </w:pPr>
            <w:r>
              <w:t>40</w:t>
            </w:r>
            <w:r w:rsidR="00961DFA">
              <w:t>%</w:t>
            </w:r>
          </w:p>
        </w:tc>
        <w:tc>
          <w:tcPr>
            <w:tcW w:w="3260" w:type="dxa"/>
          </w:tcPr>
          <w:p w:rsidR="00961DFA" w:rsidRDefault="00961DFA" w:rsidP="005E1428">
            <w:pPr>
              <w:numPr>
                <w:ilvl w:val="12"/>
                <w:numId w:val="0"/>
              </w:numPr>
            </w:pPr>
            <w:r>
              <w:t xml:space="preserve">Week </w:t>
            </w:r>
            <w:r w:rsidR="0042216D">
              <w:t>17</w:t>
            </w:r>
          </w:p>
        </w:tc>
      </w:tr>
    </w:tbl>
    <w:p w:rsidR="00961DFA" w:rsidRDefault="00961DFA" w:rsidP="00961DFA">
      <w:pPr>
        <w:rPr>
          <w:b/>
          <w:bCs/>
        </w:rPr>
      </w:pPr>
    </w:p>
    <w:p w:rsidR="00961DFA" w:rsidRDefault="00961DFA" w:rsidP="00961DFA">
      <w:pPr>
        <w:tabs>
          <w:tab w:val="left" w:pos="709"/>
          <w:tab w:val="right" w:pos="5954"/>
          <w:tab w:val="right" w:pos="7513"/>
        </w:tabs>
      </w:pPr>
      <w:r>
        <w:t>Each unit is comprised of competencies.  Assessment tasks may assess outcomes from more than one competency and assessment and reporting may be of the following format:</w:t>
      </w:r>
    </w:p>
    <w:p w:rsidR="00961DFA" w:rsidRDefault="00961DFA" w:rsidP="00961DFA">
      <w:pPr>
        <w:numPr>
          <w:ilvl w:val="0"/>
          <w:numId w:val="25"/>
        </w:numPr>
        <w:tabs>
          <w:tab w:val="left" w:pos="709"/>
          <w:tab w:val="right" w:pos="5954"/>
          <w:tab w:val="right" w:pos="7513"/>
        </w:tabs>
      </w:pPr>
      <w:r>
        <w:t>On- and Off-the-job assessment will be competency based, in that the student will be required to demonstrate competency in each of a range of tasks measured against specified criteria.</w:t>
      </w:r>
    </w:p>
    <w:p w:rsidR="00961DFA" w:rsidRDefault="00961DFA" w:rsidP="00961DFA">
      <w:pPr>
        <w:numPr>
          <w:ilvl w:val="0"/>
          <w:numId w:val="25"/>
        </w:numPr>
        <w:tabs>
          <w:tab w:val="left" w:pos="709"/>
          <w:tab w:val="right" w:pos="5954"/>
          <w:tab w:val="right" w:pos="7513"/>
        </w:tabs>
      </w:pPr>
      <w:r>
        <w:t>The Student Record Book will record the competence achieved, an assessment coding of Competent (C) and Not Yet Competent (NYC) will be used.  Students will have the opportunity for re-testing if deemed ‘Not Yet Competent’.  Students may apply for 2 re-tests.</w:t>
      </w:r>
    </w:p>
    <w:p w:rsidR="00961DFA" w:rsidRDefault="00961DFA" w:rsidP="00961DFA">
      <w:pPr>
        <w:numPr>
          <w:ilvl w:val="0"/>
          <w:numId w:val="25"/>
        </w:numPr>
        <w:tabs>
          <w:tab w:val="left" w:pos="709"/>
          <w:tab w:val="right" w:pos="5954"/>
          <w:tab w:val="right" w:pos="7513"/>
        </w:tabs>
      </w:pPr>
      <w:r>
        <w:t xml:space="preserve">Completed semester units of the course will be reported on the Year 12 Certificate using A-E grades according to the current system grade descriptors which are displayed on the chart located on the back of the classroom door.  Ask your teacher if you would like a copy. </w:t>
      </w:r>
    </w:p>
    <w:p w:rsidR="00961DFA" w:rsidRDefault="00961DFA" w:rsidP="00961DFA">
      <w:pPr>
        <w:rPr>
          <w:b/>
          <w:bCs/>
        </w:rPr>
      </w:pPr>
    </w:p>
    <w:p w:rsidR="00961DFA" w:rsidRDefault="00961DFA" w:rsidP="00961DFA">
      <w:pPr>
        <w:pStyle w:val="Kimsheading"/>
        <w:rPr>
          <w:rFonts w:ascii="Arial" w:hAnsi="Arial" w:cs="Arial"/>
          <w:sz w:val="20"/>
          <w:szCs w:val="20"/>
        </w:rPr>
      </w:pPr>
      <w:r>
        <w:rPr>
          <w:rFonts w:ascii="Arial" w:hAnsi="Arial" w:cs="Arial"/>
          <w:sz w:val="20"/>
          <w:szCs w:val="20"/>
        </w:rPr>
        <w:t>Assessment Policy</w:t>
      </w:r>
    </w:p>
    <w:p w:rsidR="00961DFA" w:rsidRDefault="00961DFA" w:rsidP="00961DFA">
      <w:pPr>
        <w:numPr>
          <w:ilvl w:val="12"/>
          <w:numId w:val="0"/>
        </w:numPr>
        <w:rPr>
          <w:b/>
          <w:bCs/>
          <w:sz w:val="24"/>
          <w:szCs w:val="24"/>
        </w:rPr>
      </w:pPr>
    </w:p>
    <w:p w:rsidR="00961DFA" w:rsidRDefault="00961DFA" w:rsidP="00961DFA">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rPr>
      </w:pPr>
      <w:r>
        <w:rPr>
          <w:b/>
          <w:bCs/>
        </w:rPr>
        <w:t>ATTENDANCE</w:t>
      </w:r>
    </w:p>
    <w:p w:rsidR="00961DFA" w:rsidRDefault="00961DFA" w:rsidP="00961DFA">
      <w:pPr>
        <w:tabs>
          <w:tab w:val="left" w:pos="786"/>
        </w:tabs>
        <w:rPr>
          <w:sz w:val="18"/>
          <w:szCs w:val="18"/>
        </w:rPr>
      </w:pPr>
      <w:r>
        <w:t xml:space="preserve">Students are expected to attend all scheduled classes. Any student whose attendance </w:t>
      </w:r>
      <w:r>
        <w:rPr>
          <w:b/>
          <w:bCs/>
        </w:rPr>
        <w:t>falls below</w:t>
      </w:r>
      <w:r>
        <w:t xml:space="preserve"> </w:t>
      </w:r>
      <w:r>
        <w:rPr>
          <w:b/>
          <w:bCs/>
        </w:rPr>
        <w:t>90%</w:t>
      </w:r>
      <w:r>
        <w:t xml:space="preserve"> of the scheduled classes in this unit will be </w:t>
      </w:r>
      <w:r>
        <w:rPr>
          <w:b/>
          <w:bCs/>
        </w:rPr>
        <w:t>deemed to have voided the unit</w:t>
      </w:r>
      <w:r>
        <w:t xml:space="preserve"> (v grade) unless satisfactory documentation is provided. It is a student’s responsibility to catch up on missed work, when absent from a class</w:t>
      </w:r>
      <w:r>
        <w:rPr>
          <w:sz w:val="18"/>
          <w:szCs w:val="18"/>
        </w:rPr>
        <w:t xml:space="preserve">  </w:t>
      </w:r>
    </w:p>
    <w:p w:rsidR="00961DFA" w:rsidRDefault="00961DFA" w:rsidP="00961DFA">
      <w:pPr>
        <w:tabs>
          <w:tab w:val="left" w:pos="786"/>
        </w:tabs>
        <w:rPr>
          <w:sz w:val="18"/>
          <w:szCs w:val="18"/>
        </w:rPr>
      </w:pPr>
    </w:p>
    <w:p w:rsidR="00961DFA" w:rsidRDefault="00961DFA" w:rsidP="00961DFA">
      <w:pPr>
        <w:tabs>
          <w:tab w:val="left" w:pos="786"/>
        </w:tabs>
        <w:rPr>
          <w:b/>
          <w:bCs/>
          <w:sz w:val="18"/>
          <w:szCs w:val="18"/>
        </w:rPr>
      </w:pPr>
      <w:r>
        <w:rPr>
          <w:b/>
          <w:bCs/>
        </w:rPr>
        <w:t>COMPLETION OF ASSESSMENT</w:t>
      </w:r>
    </w:p>
    <w:p w:rsidR="00961DFA" w:rsidRDefault="00961DFA" w:rsidP="00961DFA">
      <w:pPr>
        <w:tabs>
          <w:tab w:val="left" w:pos="786"/>
        </w:tabs>
      </w:pPr>
      <w:r>
        <w:t>Students are required to complete and submit all assessment items unless due cause and adequate documentary evidence is provided (eg medical certificate).  Any student who fails to submit assessment tasks worth in total 70% or more in this unit will be deemed to have voided the unit.</w:t>
      </w:r>
    </w:p>
    <w:p w:rsidR="00961DFA" w:rsidRDefault="00961DFA" w:rsidP="00961DFA">
      <w:pPr>
        <w:tabs>
          <w:tab w:val="left" w:pos="786"/>
        </w:tabs>
      </w:pPr>
    </w:p>
    <w:p w:rsidR="00961DFA" w:rsidRPr="00670767" w:rsidRDefault="00961DFA" w:rsidP="00961DFA">
      <w:pPr>
        <w:pStyle w:val="BodyText2"/>
        <w:rPr>
          <w:rFonts w:ascii="Times New Roman" w:hAnsi="Times New Roman"/>
          <w:b w:val="0"/>
        </w:rPr>
      </w:pPr>
      <w:r w:rsidRPr="00670767">
        <w:rPr>
          <w:rFonts w:ascii="Times New Roman" w:hAnsi="Times New Roman"/>
          <w:b w:val="0"/>
        </w:rPr>
        <w:t>Students who are unable to attend college for assessment items such as tests must inform the teacher as soon as possible and provide appropriate evidence of the problem (medical certificate).</w:t>
      </w:r>
    </w:p>
    <w:p w:rsidR="00961DFA" w:rsidRDefault="00961DFA" w:rsidP="00961DFA">
      <w:pPr>
        <w:tabs>
          <w:tab w:val="left" w:pos="786"/>
        </w:tabs>
        <w:rPr>
          <w:b/>
          <w:bCs/>
        </w:rPr>
      </w:pPr>
    </w:p>
    <w:p w:rsidR="00961DFA" w:rsidRDefault="00961DFA" w:rsidP="00961DFA">
      <w:pPr>
        <w:tabs>
          <w:tab w:val="left" w:pos="786"/>
        </w:tabs>
      </w:pPr>
      <w:r>
        <w:rPr>
          <w:b/>
          <w:bCs/>
        </w:rPr>
        <w:t>LATE SUBMISSION OF WORK</w:t>
      </w:r>
    </w:p>
    <w:p w:rsidR="00961DFA" w:rsidRDefault="00961DFA" w:rsidP="00961DFA">
      <w:r>
        <w:t>Students are encouraged to submit work on time, as this is a valuable organisational skill. Students are also encouraged to complete work even if it is late as there are educational benefits in doing so. The purpose of the policy is to ensure equity for all students.</w:t>
      </w:r>
    </w:p>
    <w:p w:rsidR="00961DFA" w:rsidRDefault="00961DFA" w:rsidP="00961DFA">
      <w:pPr>
        <w:tabs>
          <w:tab w:val="left" w:pos="0"/>
          <w:tab w:val="left" w:pos="360"/>
        </w:tabs>
        <w:ind w:left="360" w:hanging="360"/>
      </w:pPr>
      <w:r>
        <w:t>1.</w:t>
      </w:r>
      <w:r>
        <w:tab/>
        <w:t xml:space="preserve">Except in exceptional circumstances, students must apply for an extension in advance, providing due cause and adequate documentary evidence for late submission. </w:t>
      </w:r>
    </w:p>
    <w:p w:rsidR="00961DFA" w:rsidRDefault="00961DFA" w:rsidP="00961DFA">
      <w:pPr>
        <w:tabs>
          <w:tab w:val="left" w:pos="0"/>
          <w:tab w:val="left" w:pos="360"/>
        </w:tabs>
        <w:ind w:left="360" w:hanging="360"/>
      </w:pPr>
      <w:r>
        <w:t>2.</w:t>
      </w:r>
      <w:r>
        <w:tab/>
        <w:t>a) Calculation of a notional zero in T units is based on items submitted on time or with an approved extension (i.e. a genuine score).</w:t>
      </w:r>
    </w:p>
    <w:p w:rsidR="00961DFA" w:rsidRDefault="00961DFA" w:rsidP="00961DFA">
      <w:pPr>
        <w:tabs>
          <w:tab w:val="left" w:pos="0"/>
        </w:tabs>
        <w:ind w:left="360" w:hanging="360"/>
      </w:pPr>
      <w:r>
        <w:tab/>
        <w:t>b) A late penalty will apply unless an extension is granted. The penalty for late submission is 5% (of possible marks) per calendar day late (including weekends and public holidays) until the notional zero, calculated in (a), is reached. If an item is more than 7 days late, it receives the notional zero. Submission on weekends or public holidays is not acceptable.</w:t>
      </w:r>
    </w:p>
    <w:p w:rsidR="00961DFA" w:rsidRDefault="00961DFA" w:rsidP="00961DFA">
      <w:pPr>
        <w:tabs>
          <w:tab w:val="left" w:pos="0"/>
        </w:tabs>
        <w:ind w:left="360" w:hanging="360"/>
      </w:pPr>
    </w:p>
    <w:p w:rsidR="00961DFA" w:rsidRDefault="00961DFA" w:rsidP="00961DFA">
      <w:pPr>
        <w:tabs>
          <w:tab w:val="left" w:pos="0"/>
          <w:tab w:val="left" w:pos="360"/>
        </w:tabs>
        <w:ind w:left="360" w:hanging="360"/>
      </w:pPr>
      <w:r>
        <w:t>3.</w:t>
      </w:r>
      <w:r>
        <w:tab/>
        <w:t>The Principal has the right to exercise discretion in the application of the late penalty in special circumstances with satisfactory documentation.</w:t>
      </w:r>
    </w:p>
    <w:p w:rsidR="00961DFA" w:rsidRDefault="00961DFA" w:rsidP="00961DFA">
      <w:pPr>
        <w:tabs>
          <w:tab w:val="left" w:pos="0"/>
          <w:tab w:val="left" w:pos="360"/>
        </w:tabs>
        <w:ind w:left="360" w:hanging="360"/>
      </w:pPr>
      <w:r>
        <w:t>4.</w:t>
      </w:r>
      <w:r>
        <w:tab/>
        <w:t xml:space="preserve">It may not be possible to grade or score work submitted late after marked work in a unit has been returned to other students. </w:t>
      </w:r>
    </w:p>
    <w:p w:rsidR="00961DFA" w:rsidRDefault="00961DFA" w:rsidP="00961DFA">
      <w:pPr>
        <w:tabs>
          <w:tab w:val="left" w:pos="786"/>
        </w:tabs>
      </w:pPr>
    </w:p>
    <w:p w:rsidR="00961DFA" w:rsidRDefault="00961DFA" w:rsidP="00961DFA">
      <w:pPr>
        <w:tabs>
          <w:tab w:val="left" w:pos="786"/>
        </w:tabs>
        <w:rPr>
          <w:b/>
          <w:bCs/>
        </w:rPr>
      </w:pPr>
      <w:r>
        <w:rPr>
          <w:b/>
          <w:bCs/>
        </w:rPr>
        <w:t>CHEATING /PLAGIARISM</w:t>
      </w:r>
    </w:p>
    <w:p w:rsidR="00961DFA" w:rsidRDefault="00961DFA" w:rsidP="00961DFA">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The integrity of the College</w:t>
      </w:r>
      <w:r>
        <w:rPr>
          <w:b/>
          <w:bCs/>
        </w:rPr>
        <w:t xml:space="preserve"> </w:t>
      </w:r>
      <w:r>
        <w:t>assessment system relies on all involved acting in accordance with the highest standards of honesty and fairness. Where a student has been deemed to have cheated, copied or plagiarised in an assessment item or tampered with student assessment data, the following penalties may apply:</w:t>
      </w:r>
    </w:p>
    <w:p w:rsidR="00961DFA" w:rsidRDefault="00961DFA" w:rsidP="00961DFA">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s>
      </w:pPr>
      <w:r>
        <w:t>cancellation of the assessment item result;</w:t>
      </w:r>
    </w:p>
    <w:p w:rsidR="00961DFA" w:rsidRDefault="00961DFA" w:rsidP="00961DFA">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s>
      </w:pPr>
      <w:r>
        <w:t>cancellation of the unit result;</w:t>
      </w:r>
    </w:p>
    <w:p w:rsidR="00961DFA" w:rsidRDefault="00961DFA" w:rsidP="00961DFA">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s>
      </w:pPr>
      <w:r>
        <w:t>cancellation of the course result.</w:t>
      </w:r>
    </w:p>
    <w:p w:rsidR="00961DFA" w:rsidRDefault="00961DFA" w:rsidP="00961DFA">
      <w:pPr>
        <w:tabs>
          <w:tab w:val="left" w:pos="786"/>
        </w:tabs>
      </w:pPr>
    </w:p>
    <w:p w:rsidR="00961DFA" w:rsidRDefault="00961DFA" w:rsidP="00961DFA">
      <w:pPr>
        <w:tabs>
          <w:tab w:val="left" w:pos="786"/>
        </w:tabs>
        <w:rPr>
          <w:b/>
          <w:bCs/>
        </w:rPr>
      </w:pPr>
    </w:p>
    <w:p w:rsidR="00961DFA" w:rsidRDefault="00961DFA" w:rsidP="00961DFA">
      <w:pPr>
        <w:tabs>
          <w:tab w:val="left" w:pos="786"/>
        </w:tabs>
        <w:rPr>
          <w:b/>
          <w:bCs/>
        </w:rPr>
      </w:pPr>
    </w:p>
    <w:p w:rsidR="00670767" w:rsidRDefault="00670767" w:rsidP="00961DFA">
      <w:pPr>
        <w:tabs>
          <w:tab w:val="left" w:pos="786"/>
        </w:tabs>
        <w:rPr>
          <w:b/>
          <w:bCs/>
        </w:rPr>
      </w:pPr>
    </w:p>
    <w:p w:rsidR="00961DFA" w:rsidRDefault="00961DFA" w:rsidP="00961DFA">
      <w:pPr>
        <w:tabs>
          <w:tab w:val="left" w:pos="786"/>
        </w:tabs>
      </w:pPr>
      <w:r>
        <w:rPr>
          <w:b/>
          <w:bCs/>
        </w:rPr>
        <w:t>APPEALS PROCEDURES</w:t>
      </w:r>
    </w:p>
    <w:p w:rsidR="00961DFA" w:rsidRDefault="00961DFA" w:rsidP="00961DFA">
      <w:pPr>
        <w:tabs>
          <w:tab w:val="left" w:pos="786"/>
        </w:tabs>
      </w:pPr>
      <w:r>
        <w:lastRenderedPageBreak/>
        <w:t>Copies of assessment and appeals procedures are available in each classroom and from your teacher.  When assessment items are returned, students should check the marks thoroughly. If a student has a query about some aspect of the marking, they should discuss it with their class teacher. If the student is still not satisfied, they should then discuss the matter with the Executive Teacher. For further details please refer to the college handbook.</w:t>
      </w:r>
    </w:p>
    <w:p w:rsidR="00961DFA" w:rsidRDefault="00961DFA" w:rsidP="00961DFA"/>
    <w:p w:rsidR="00961DFA" w:rsidRDefault="00961DFA" w:rsidP="00961DFA">
      <w:pPr>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ind w:left="720" w:hanging="720"/>
      </w:pPr>
      <w:r>
        <w:rPr>
          <w:b/>
          <w:bCs/>
        </w:rPr>
        <w:t>MODERATION PROCEDURES</w:t>
      </w:r>
    </w:p>
    <w:p w:rsidR="00961DFA" w:rsidRDefault="00961DFA" w:rsidP="00961DFA">
      <w:pPr>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ind w:left="1080" w:hanging="654"/>
        <w:jc w:val="both"/>
        <w:rPr>
          <w:b/>
          <w:bCs/>
          <w:lang w:val="en-US"/>
        </w:rPr>
      </w:pPr>
      <w:r>
        <w:rPr>
          <w:b/>
          <w:bCs/>
        </w:rPr>
        <w:t>a.</w:t>
      </w:r>
      <w:r>
        <w:rPr>
          <w:b/>
          <w:bCs/>
        </w:rPr>
        <w:tab/>
      </w:r>
      <w:r>
        <w:rPr>
          <w:b/>
          <w:bCs/>
          <w:lang w:val="en-US"/>
        </w:rPr>
        <w:t>Internal</w:t>
      </w:r>
    </w:p>
    <w:p w:rsidR="00961DFA" w:rsidRDefault="00961DFA" w:rsidP="00961DFA">
      <w:pPr>
        <w:pStyle w:val="BodyTextIndent3"/>
      </w:pPr>
      <w:r>
        <w:t>Assessment items in this unit are prepared in consultation with all staff teaching across the scaling group, where the appropriate task types, the weightings and required standards of work are decided. Once submitted and marked by the class teacher, each assessment task is moderated across the scaling group to ensure comparable measurement of performance. This moderation process occurs throughout the unit.</w:t>
      </w:r>
    </w:p>
    <w:p w:rsidR="00961DFA" w:rsidRDefault="00961DFA" w:rsidP="00961DFA">
      <w:pPr>
        <w:tabs>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ind w:left="720" w:hanging="360"/>
        <w:rPr>
          <w:b/>
          <w:bCs/>
        </w:rPr>
      </w:pPr>
      <w:r>
        <w:rPr>
          <w:b/>
          <w:bCs/>
        </w:rPr>
        <w:t>b.</w:t>
      </w:r>
      <w:r>
        <w:rPr>
          <w:b/>
          <w:bCs/>
        </w:rPr>
        <w:tab/>
        <w:t>External</w:t>
      </w:r>
    </w:p>
    <w:p w:rsidR="00961DFA" w:rsidRDefault="00961DFA" w:rsidP="00961DFA">
      <w:pPr>
        <w:adjustRightInd w:val="0"/>
        <w:ind w:left="720"/>
        <w:rPr>
          <w:lang w:val="en-US"/>
        </w:rPr>
      </w:pPr>
      <w:r>
        <w:rPr>
          <w:lang w:val="en-US"/>
        </w:rPr>
        <w:t xml:space="preserve">To ensure comparability of standards across the ACT system, the Board of Senior Secondary Studies (BSSS) requires colleges to undertake system-wide review and moderation of curriculum, assessment practices and unit grades awarded. The moderation of curriculum is through course accreditation. The system moderation of grades is by structured, consensus-based peer review. All college teachers meet twice a year to review sample portfolios of student work that have been assessed and graded against the criteria and standards set out in subject Course Frameworks. </w:t>
      </w:r>
    </w:p>
    <w:p w:rsidR="00961DFA" w:rsidRDefault="00961DFA" w:rsidP="00961DFA">
      <w:pPr>
        <w:adjustRightInd w:val="0"/>
        <w:ind w:left="720"/>
        <w:rPr>
          <w:lang w:val="en-US"/>
        </w:rPr>
      </w:pPr>
    </w:p>
    <w:p w:rsidR="00961DFA" w:rsidRDefault="00961DFA" w:rsidP="00961DFA">
      <w:pPr>
        <w:adjustRightInd w:val="0"/>
        <w:ind w:left="720"/>
        <w:rPr>
          <w:lang w:val="en-US"/>
        </w:rPr>
      </w:pPr>
      <w:r>
        <w:rPr>
          <w:lang w:val="en-US"/>
        </w:rPr>
        <w:t xml:space="preserve">The statistical moderation of course scores is achieved through the administration of the </w:t>
      </w:r>
      <w:r>
        <w:t xml:space="preserve">ACT Scaling Test (AST) </w:t>
      </w:r>
      <w:r>
        <w:rPr>
          <w:lang w:val="en-US"/>
        </w:rPr>
        <w:t xml:space="preserve">in September of each year to all Year 12 students seeking a UAI. The AST </w:t>
      </w:r>
      <w:r>
        <w:t xml:space="preserve">comprises multiple choice, short answer and writing tests and </w:t>
      </w:r>
      <w:r>
        <w:rPr>
          <w:lang w:val="en-US"/>
        </w:rPr>
        <w:t>facilitates the comparison of T course groups across the ACT, both within and among colleges.</w:t>
      </w:r>
    </w:p>
    <w:p w:rsidR="00961DFA" w:rsidRDefault="00961DFA" w:rsidP="00961DFA">
      <w:pPr>
        <w:tabs>
          <w:tab w:val="left" w:pos="786"/>
        </w:tabs>
        <w:rPr>
          <w:b/>
          <w:bCs/>
        </w:rPr>
      </w:pPr>
    </w:p>
    <w:p w:rsidR="00961DFA" w:rsidRDefault="00961DFA" w:rsidP="00961DFA">
      <w:pPr>
        <w:pStyle w:val="Heading6"/>
        <w:autoSpaceDE w:val="0"/>
        <w:autoSpaceDN w:val="0"/>
        <w:adjustRightInd w:val="0"/>
        <w:rPr>
          <w:lang w:val="en-US"/>
        </w:rPr>
      </w:pPr>
      <w:r>
        <w:rPr>
          <w:lang w:val="en-US"/>
        </w:rPr>
        <w:t>UNIT SCORE CALCULATION</w:t>
      </w:r>
    </w:p>
    <w:p w:rsidR="00961DFA" w:rsidRDefault="00961DFA" w:rsidP="00961DFA">
      <w:pPr>
        <w:tabs>
          <w:tab w:val="left" w:pos="1080"/>
        </w:tabs>
        <w:adjustRightInd w:val="0"/>
        <w:rPr>
          <w:b/>
          <w:bCs/>
          <w:lang w:val="en-US"/>
        </w:rPr>
      </w:pPr>
      <w:r>
        <w:rPr>
          <w:b/>
          <w:bCs/>
          <w:lang w:val="en-US"/>
        </w:rPr>
        <w:tab/>
      </w:r>
    </w:p>
    <w:p w:rsidR="00961DFA" w:rsidRDefault="00961DFA" w:rsidP="00961DFA">
      <w:pPr>
        <w:adjustRightInd w:val="0"/>
        <w:rPr>
          <w:lang w:val="en-GB"/>
        </w:rPr>
      </w:pPr>
      <w:r>
        <w:rPr>
          <w:lang w:val="en-GB"/>
        </w:rPr>
        <w:t xml:space="preserve">Raw unit scores are determined by aggregating the individual assessment task scores according to the given weightings. In unit 1 Year 11, these raw scores are standardised to parameters based on historical data. All subsequent raw unit scores are backscaled to the previous standardised unit scores, using only students who are common to both units. The best 80% of unit scores are used to calculate the student’s course score at the end of year 12. </w:t>
      </w:r>
    </w:p>
    <w:p w:rsidR="00961DFA" w:rsidRDefault="00961DFA" w:rsidP="00961DFA">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61DFA" w:rsidRDefault="00961DFA" w:rsidP="00961DFA">
      <w:pPr>
        <w:rPr>
          <w:b/>
          <w:bCs/>
          <w:kern w:val="28"/>
        </w:rPr>
      </w:pPr>
      <w:r>
        <w:rPr>
          <w:b/>
          <w:bCs/>
          <w:kern w:val="28"/>
        </w:rPr>
        <w:t>METHOD OF UNIT SCORE CALCULATION</w:t>
      </w:r>
    </w:p>
    <w:p w:rsidR="00961DFA" w:rsidRPr="00961DFA" w:rsidRDefault="00961DFA" w:rsidP="00961DFA">
      <w:pPr>
        <w:pStyle w:val="BodyText2"/>
        <w:rPr>
          <w:rFonts w:ascii="Times New Roman" w:hAnsi="Times New Roman"/>
          <w:bCs/>
          <w:u w:val="single"/>
        </w:rPr>
      </w:pPr>
      <w:r w:rsidRPr="00961DFA">
        <w:rPr>
          <w:rFonts w:ascii="Times New Roman" w:hAnsi="Times New Roman"/>
          <w:bCs/>
          <w:u w:val="single"/>
        </w:rPr>
        <w:t>SYSTEM MODERATION</w:t>
      </w:r>
    </w:p>
    <w:p w:rsidR="00961DFA" w:rsidRPr="00961DFA" w:rsidRDefault="00961DFA" w:rsidP="00961DFA">
      <w:pPr>
        <w:pStyle w:val="BodyText2"/>
        <w:rPr>
          <w:rFonts w:ascii="Times New Roman" w:hAnsi="Times New Roman"/>
          <w:b w:val="0"/>
        </w:rPr>
      </w:pPr>
      <w:r w:rsidRPr="00961DFA">
        <w:rPr>
          <w:rFonts w:ascii="Times New Roman" w:hAnsi="Times New Roman"/>
          <w:b w:val="0"/>
        </w:rPr>
        <w:t xml:space="preserve">Your assessment work for each unit will be required for system moderation and will be kept each session by your teacher. </w:t>
      </w:r>
    </w:p>
    <w:p w:rsidR="00670767" w:rsidRDefault="00670767" w:rsidP="00961DFA">
      <w:pPr>
        <w:rPr>
          <w:b/>
          <w:bCs/>
        </w:rPr>
      </w:pPr>
    </w:p>
    <w:p w:rsidR="00961DFA" w:rsidRDefault="00961DFA" w:rsidP="00961DFA">
      <w:pPr>
        <w:rPr>
          <w:b/>
          <w:bCs/>
        </w:rPr>
      </w:pPr>
      <w:r>
        <w:rPr>
          <w:b/>
          <w:bCs/>
        </w:rPr>
        <w:t>RECOGNITION OF CURRENT COMPETENCE (RCC):</w:t>
      </w:r>
    </w:p>
    <w:p w:rsidR="00961DFA" w:rsidRDefault="00961DFA" w:rsidP="00961DFA">
      <w:pPr>
        <w:pStyle w:val="BodyText"/>
        <w:rPr>
          <w:rFonts w:ascii="Arial" w:hAnsi="Arial" w:cs="Arial"/>
          <w:sz w:val="20"/>
          <w:szCs w:val="20"/>
        </w:rPr>
      </w:pPr>
      <w:r>
        <w:rPr>
          <w:rFonts w:ascii="Arial" w:hAnsi="Arial" w:cs="Arial"/>
          <w:sz w:val="20"/>
          <w:szCs w:val="20"/>
        </w:rPr>
        <w:t>Students who believe that they can satisfy the requirements for the industry competencies contained in this unit may apply for RCC. To qualify you must demonstrate competence through providing evidence against the assessment criteria for each individual competency listed above. See your teacher for more details.</w:t>
      </w:r>
    </w:p>
    <w:p w:rsidR="00961DFA" w:rsidRDefault="00961DFA" w:rsidP="00961DFA">
      <w:pPr>
        <w:pStyle w:val="BodyText"/>
        <w:rPr>
          <w:rFonts w:ascii="Arial" w:hAnsi="Arial" w:cs="Arial"/>
          <w:sz w:val="20"/>
          <w:szCs w:val="20"/>
        </w:rPr>
      </w:pPr>
    </w:p>
    <w:p w:rsidR="00961DFA" w:rsidRDefault="00961DFA" w:rsidP="00961DFA">
      <w:pPr>
        <w:pStyle w:val="BodyText"/>
        <w:rPr>
          <w:rFonts w:ascii="Arial" w:hAnsi="Arial" w:cs="Arial"/>
          <w:sz w:val="20"/>
          <w:szCs w:val="20"/>
        </w:rPr>
      </w:pPr>
    </w:p>
    <w:p w:rsidR="00961DFA" w:rsidRDefault="00961DFA" w:rsidP="00961DFA">
      <w:pPr>
        <w:pStyle w:val="BodyText"/>
        <w:rPr>
          <w:rFonts w:ascii="Arial" w:hAnsi="Arial" w:cs="Arial"/>
          <w:sz w:val="20"/>
          <w:szCs w:val="20"/>
        </w:rPr>
      </w:pPr>
    </w:p>
    <w:p w:rsidR="00961DFA" w:rsidRDefault="00961DFA" w:rsidP="00961DFA">
      <w:pPr>
        <w:pStyle w:val="BodyText"/>
        <w:rPr>
          <w:rFonts w:ascii="Arial" w:hAnsi="Arial" w:cs="Arial"/>
          <w:sz w:val="20"/>
          <w:szCs w:val="20"/>
        </w:rPr>
      </w:pPr>
    </w:p>
    <w:p w:rsidR="00961DFA" w:rsidRDefault="00961DFA" w:rsidP="00961DFA">
      <w:pPr>
        <w:pStyle w:val="BodyText"/>
        <w:rPr>
          <w:rFonts w:ascii="Arial" w:hAnsi="Arial" w:cs="Arial"/>
          <w:sz w:val="20"/>
          <w:szCs w:val="20"/>
        </w:rPr>
      </w:pPr>
    </w:p>
    <w:p w:rsidR="00961DFA" w:rsidRDefault="00670767" w:rsidP="00961DFA">
      <w:pPr>
        <w:pStyle w:val="BodyText"/>
        <w:rPr>
          <w:rFonts w:ascii="Arial" w:hAnsi="Arial" w:cs="Arial"/>
          <w:sz w:val="20"/>
          <w:szCs w:val="20"/>
        </w:rPr>
      </w:pPr>
      <w:r>
        <w:rPr>
          <w:rFonts w:ascii="Arial" w:hAnsi="Arial" w:cs="Arial"/>
          <w:sz w:val="20"/>
          <w:szCs w:val="20"/>
        </w:rPr>
        <w:br w:type="page"/>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35"/>
        <w:gridCol w:w="4678"/>
        <w:gridCol w:w="2268"/>
      </w:tblGrid>
      <w:tr w:rsidR="003C54BE">
        <w:tblPrEx>
          <w:tblCellMar>
            <w:top w:w="0" w:type="dxa"/>
            <w:bottom w:w="0" w:type="dxa"/>
          </w:tblCellMar>
        </w:tblPrEx>
        <w:tc>
          <w:tcPr>
            <w:tcW w:w="2235" w:type="dxa"/>
          </w:tcPr>
          <w:p w:rsidR="003C54BE" w:rsidRDefault="003C54BE" w:rsidP="005E4457">
            <w:pPr>
              <w:jc w:val="center"/>
              <w:rPr>
                <w:b/>
                <w:bCs/>
                <w:caps/>
              </w:rPr>
            </w:pPr>
            <w:r>
              <w:rPr>
                <w:b/>
                <w:bCs/>
                <w:caps/>
              </w:rPr>
              <w:t>Week</w:t>
            </w:r>
          </w:p>
        </w:tc>
        <w:tc>
          <w:tcPr>
            <w:tcW w:w="4678" w:type="dxa"/>
          </w:tcPr>
          <w:p w:rsidR="003C54BE" w:rsidRDefault="003C54BE" w:rsidP="005E4457">
            <w:pPr>
              <w:jc w:val="center"/>
              <w:rPr>
                <w:b/>
                <w:bCs/>
                <w:caps/>
              </w:rPr>
            </w:pPr>
            <w:r>
              <w:rPr>
                <w:b/>
                <w:bCs/>
                <w:caps/>
              </w:rPr>
              <w:t>Topics Covered</w:t>
            </w:r>
          </w:p>
          <w:p w:rsidR="003C54BE" w:rsidRDefault="003C54BE" w:rsidP="005E4457">
            <w:pPr>
              <w:jc w:val="center"/>
              <w:rPr>
                <w:b/>
                <w:bCs/>
                <w:caps/>
              </w:rPr>
            </w:pPr>
            <w:r>
              <w:rPr>
                <w:b/>
                <w:bCs/>
                <w:caps/>
              </w:rPr>
              <w:t>Order may vary</w:t>
            </w:r>
          </w:p>
          <w:p w:rsidR="003C54BE" w:rsidRDefault="003C54BE" w:rsidP="005E4457">
            <w:pPr>
              <w:rPr>
                <w:b/>
                <w:bCs/>
                <w:caps/>
              </w:rPr>
            </w:pPr>
          </w:p>
        </w:tc>
        <w:tc>
          <w:tcPr>
            <w:tcW w:w="2268" w:type="dxa"/>
          </w:tcPr>
          <w:p w:rsidR="003C54BE" w:rsidRDefault="003C54BE" w:rsidP="005E4457">
            <w:pPr>
              <w:jc w:val="center"/>
              <w:rPr>
                <w:b/>
                <w:bCs/>
                <w:caps/>
              </w:rPr>
            </w:pPr>
            <w:r>
              <w:rPr>
                <w:b/>
                <w:bCs/>
                <w:caps/>
              </w:rPr>
              <w:t>Assessment Items</w:t>
            </w:r>
          </w:p>
          <w:p w:rsidR="003C54BE" w:rsidRDefault="003C54BE" w:rsidP="005E4457">
            <w:pPr>
              <w:jc w:val="center"/>
              <w:rPr>
                <w:b/>
                <w:bCs/>
                <w:caps/>
              </w:rPr>
            </w:pPr>
            <w:r>
              <w:rPr>
                <w:b/>
                <w:bCs/>
                <w:caps/>
              </w:rPr>
              <w:t>Notes</w:t>
            </w:r>
          </w:p>
        </w:tc>
      </w:tr>
      <w:tr w:rsidR="00670767">
        <w:tblPrEx>
          <w:tblCellMar>
            <w:top w:w="0" w:type="dxa"/>
            <w:bottom w:w="0" w:type="dxa"/>
          </w:tblCellMar>
        </w:tblPrEx>
        <w:tc>
          <w:tcPr>
            <w:tcW w:w="2235" w:type="dxa"/>
          </w:tcPr>
          <w:p w:rsidR="00670767" w:rsidRPr="009D0332" w:rsidRDefault="00670767" w:rsidP="005E4457">
            <w:pPr>
              <w:rPr>
                <w:b/>
                <w:bCs/>
              </w:rPr>
            </w:pPr>
            <w:r w:rsidRPr="009D0332">
              <w:rPr>
                <w:b/>
                <w:bCs/>
              </w:rPr>
              <w:t>Week 1</w:t>
            </w:r>
          </w:p>
          <w:p w:rsidR="00670767" w:rsidRPr="009D0332" w:rsidRDefault="00670767" w:rsidP="005E4457">
            <w:pPr>
              <w:rPr>
                <w:b/>
                <w:bCs/>
              </w:rPr>
            </w:pPr>
            <w:r w:rsidRPr="009D0332">
              <w:rPr>
                <w:b/>
                <w:bCs/>
              </w:rPr>
              <w:t>(</w:t>
            </w:r>
            <w:r>
              <w:rPr>
                <w:b/>
                <w:bCs/>
              </w:rPr>
              <w:t>26</w:t>
            </w:r>
            <w:r w:rsidRPr="009D0332">
              <w:rPr>
                <w:b/>
                <w:bCs/>
              </w:rPr>
              <w:t xml:space="preserve"> </w:t>
            </w:r>
            <w:r>
              <w:rPr>
                <w:b/>
                <w:bCs/>
              </w:rPr>
              <w:t xml:space="preserve">– 30 </w:t>
            </w:r>
            <w:r w:rsidRPr="009D0332">
              <w:rPr>
                <w:b/>
                <w:bCs/>
              </w:rPr>
              <w:t>Apr)</w:t>
            </w:r>
          </w:p>
          <w:p w:rsidR="00670767" w:rsidRPr="009D0332" w:rsidRDefault="00670767" w:rsidP="005E4457">
            <w:pPr>
              <w:rPr>
                <w:b/>
                <w:bCs/>
              </w:rPr>
            </w:pPr>
          </w:p>
        </w:tc>
        <w:tc>
          <w:tcPr>
            <w:tcW w:w="4678" w:type="dxa"/>
          </w:tcPr>
          <w:p w:rsidR="00670767" w:rsidRDefault="00670767" w:rsidP="005E1428">
            <w:pPr>
              <w:rPr>
                <w:lang w:eastAsia="ja-JP"/>
              </w:rPr>
            </w:pPr>
            <w:r>
              <w:rPr>
                <w:lang w:eastAsia="ja-JP"/>
              </w:rPr>
              <w:t>Getting to know the Flash CS3 Interface</w:t>
            </w:r>
          </w:p>
          <w:p w:rsidR="00670767" w:rsidRDefault="00670767" w:rsidP="005E1428">
            <w:pPr>
              <w:rPr>
                <w:lang w:eastAsia="ja-JP"/>
              </w:rPr>
            </w:pPr>
            <w:r>
              <w:rPr>
                <w:lang w:eastAsia="ja-JP"/>
              </w:rPr>
              <w:t>Using Actionscript–interacting with objects</w:t>
            </w:r>
          </w:p>
          <w:p w:rsidR="00670767" w:rsidRPr="002978E6" w:rsidRDefault="00670767" w:rsidP="005E1428">
            <w:pPr>
              <w:rPr>
                <w:lang w:eastAsia="ja-JP"/>
              </w:rPr>
            </w:pPr>
            <w:r>
              <w:rPr>
                <w:lang w:eastAsia="ja-JP"/>
              </w:rPr>
              <w:t>Creating basic motion, scrolling, rebounding, controlling movieclip properties – alpha, rotation, width etc…, Basic Shortcuts – f6,f7,f8,f9</w:t>
            </w:r>
          </w:p>
        </w:tc>
        <w:tc>
          <w:tcPr>
            <w:tcW w:w="2268" w:type="dxa"/>
          </w:tcPr>
          <w:p w:rsidR="00670767" w:rsidRPr="003C54BE" w:rsidRDefault="00670767" w:rsidP="003C54BE">
            <w:pPr>
              <w:pStyle w:val="Heading4"/>
              <w:framePr w:wrap="auto"/>
              <w:jc w:val="left"/>
              <w:rPr>
                <w:rFonts w:ascii="Arial" w:hAnsi="Arial" w:cs="Arial"/>
                <w:bCs w:val="0"/>
                <w:sz w:val="20"/>
                <w:szCs w:val="20"/>
              </w:rPr>
            </w:pPr>
            <w:r w:rsidRPr="003C54BE">
              <w:rPr>
                <w:rFonts w:ascii="Arial" w:hAnsi="Arial" w:cs="Arial"/>
                <w:bCs w:val="0"/>
                <w:sz w:val="20"/>
                <w:szCs w:val="20"/>
              </w:rPr>
              <w:t>Anzac Day 26 Apr</w:t>
            </w:r>
          </w:p>
          <w:p w:rsidR="00670767" w:rsidRPr="007441BD" w:rsidRDefault="00670767" w:rsidP="005E4457"/>
        </w:tc>
      </w:tr>
      <w:tr w:rsidR="00670767">
        <w:tblPrEx>
          <w:tblCellMar>
            <w:top w:w="0" w:type="dxa"/>
            <w:bottom w:w="0" w:type="dxa"/>
          </w:tblCellMar>
        </w:tblPrEx>
        <w:tc>
          <w:tcPr>
            <w:tcW w:w="2235" w:type="dxa"/>
          </w:tcPr>
          <w:p w:rsidR="00670767" w:rsidRPr="009D0332" w:rsidRDefault="00670767" w:rsidP="005E4457">
            <w:pPr>
              <w:rPr>
                <w:b/>
                <w:bCs/>
              </w:rPr>
            </w:pPr>
            <w:r w:rsidRPr="009D0332">
              <w:rPr>
                <w:b/>
                <w:bCs/>
              </w:rPr>
              <w:t>Week 2</w:t>
            </w:r>
          </w:p>
          <w:p w:rsidR="00670767" w:rsidRPr="009D0332" w:rsidRDefault="00670767" w:rsidP="005E4457">
            <w:pPr>
              <w:rPr>
                <w:b/>
                <w:bCs/>
              </w:rPr>
            </w:pPr>
            <w:r w:rsidRPr="009D0332">
              <w:rPr>
                <w:b/>
                <w:bCs/>
              </w:rPr>
              <w:t>(</w:t>
            </w:r>
            <w:r>
              <w:rPr>
                <w:b/>
                <w:bCs/>
              </w:rPr>
              <w:t>3 – 7</w:t>
            </w:r>
            <w:r w:rsidRPr="009D0332">
              <w:rPr>
                <w:b/>
                <w:bCs/>
              </w:rPr>
              <w:t xml:space="preserve"> May)</w:t>
            </w:r>
          </w:p>
        </w:tc>
        <w:tc>
          <w:tcPr>
            <w:tcW w:w="4678" w:type="dxa"/>
          </w:tcPr>
          <w:p w:rsidR="00670767" w:rsidRPr="002978E6" w:rsidRDefault="00670767" w:rsidP="005E1428">
            <w:pPr>
              <w:rPr>
                <w:rFonts w:eastAsia="MS Mincho"/>
                <w:b/>
                <w:bCs/>
                <w:i/>
                <w:iCs/>
                <w:lang w:eastAsia="ja-JP"/>
              </w:rPr>
            </w:pPr>
            <w:r w:rsidRPr="004F510B">
              <w:rPr>
                <w:lang w:eastAsia="ja-JP"/>
              </w:rPr>
              <w:t xml:space="preserve">Timeline programming, use of keyboard, buttons, use of random, </w:t>
            </w:r>
            <w:r>
              <w:rPr>
                <w:lang w:eastAsia="ja-JP"/>
              </w:rPr>
              <w:t xml:space="preserve">drag able objects , use of IF statements, use of onPress, onEnterFrame standard functions, setInterval command, gotoAndPlay, </w:t>
            </w:r>
          </w:p>
        </w:tc>
        <w:tc>
          <w:tcPr>
            <w:tcW w:w="2268" w:type="dxa"/>
          </w:tcPr>
          <w:p w:rsidR="00670767" w:rsidRDefault="00670767" w:rsidP="005E4457"/>
          <w:p w:rsidR="00670767" w:rsidRDefault="00670767" w:rsidP="005E4457">
            <w:r>
              <w:t>Information Morning</w:t>
            </w:r>
          </w:p>
          <w:p w:rsidR="00670767" w:rsidRDefault="00670767" w:rsidP="005E4457">
            <w:r>
              <w:t>May 6</w:t>
            </w:r>
          </w:p>
          <w:p w:rsidR="00670767" w:rsidRDefault="00670767" w:rsidP="005E4457"/>
        </w:tc>
      </w:tr>
      <w:tr w:rsidR="00207019">
        <w:tblPrEx>
          <w:tblCellMar>
            <w:top w:w="0" w:type="dxa"/>
            <w:bottom w:w="0" w:type="dxa"/>
          </w:tblCellMar>
        </w:tblPrEx>
        <w:tc>
          <w:tcPr>
            <w:tcW w:w="2235" w:type="dxa"/>
          </w:tcPr>
          <w:p w:rsidR="00207019" w:rsidRDefault="00207019" w:rsidP="005E4457">
            <w:pPr>
              <w:rPr>
                <w:b/>
                <w:bCs/>
              </w:rPr>
            </w:pPr>
            <w:r>
              <w:rPr>
                <w:b/>
                <w:bCs/>
              </w:rPr>
              <w:t>Week 3</w:t>
            </w:r>
          </w:p>
          <w:p w:rsidR="00207019" w:rsidRDefault="00207019" w:rsidP="005E4457">
            <w:pPr>
              <w:pStyle w:val="Header"/>
              <w:tabs>
                <w:tab w:val="clear" w:pos="4153"/>
                <w:tab w:val="clear" w:pos="8306"/>
              </w:tabs>
            </w:pPr>
            <w:r>
              <w:t>(10 – 14 May)</w:t>
            </w:r>
          </w:p>
        </w:tc>
        <w:tc>
          <w:tcPr>
            <w:tcW w:w="4678" w:type="dxa"/>
          </w:tcPr>
          <w:p w:rsidR="00207019" w:rsidRPr="00EE6455" w:rsidRDefault="00670767" w:rsidP="005E1428">
            <w:r w:rsidRPr="004F510B">
              <w:rPr>
                <w:lang w:eastAsia="ja-JP"/>
              </w:rPr>
              <w:t>Programming sound, basic OOP</w:t>
            </w:r>
            <w:r>
              <w:rPr>
                <w:lang w:eastAsia="ja-JP"/>
              </w:rPr>
              <w:t xml:space="preserve">, creating your own functions, uploading flash to the web, creating multiple sprites, the roll of randomization in games  </w:t>
            </w:r>
          </w:p>
        </w:tc>
        <w:tc>
          <w:tcPr>
            <w:tcW w:w="2268" w:type="dxa"/>
          </w:tcPr>
          <w:p w:rsidR="00207019" w:rsidRDefault="00207019" w:rsidP="005E4457"/>
          <w:p w:rsidR="00207019" w:rsidRDefault="00207019" w:rsidP="005E4457"/>
        </w:tc>
      </w:tr>
      <w:tr w:rsidR="00670767">
        <w:tblPrEx>
          <w:tblCellMar>
            <w:top w:w="0" w:type="dxa"/>
            <w:bottom w:w="0" w:type="dxa"/>
          </w:tblCellMar>
        </w:tblPrEx>
        <w:tc>
          <w:tcPr>
            <w:tcW w:w="2235" w:type="dxa"/>
          </w:tcPr>
          <w:p w:rsidR="00670767" w:rsidRDefault="00670767" w:rsidP="005E4457">
            <w:pPr>
              <w:rPr>
                <w:b/>
                <w:bCs/>
              </w:rPr>
            </w:pPr>
            <w:r>
              <w:rPr>
                <w:b/>
                <w:bCs/>
              </w:rPr>
              <w:t>Week 4</w:t>
            </w:r>
          </w:p>
          <w:p w:rsidR="00670767" w:rsidRDefault="00670767" w:rsidP="005E4457">
            <w:pPr>
              <w:pStyle w:val="Header"/>
              <w:tabs>
                <w:tab w:val="clear" w:pos="4153"/>
                <w:tab w:val="clear" w:pos="8306"/>
              </w:tabs>
            </w:pPr>
            <w:r>
              <w:t>(17 – 21 May)</w:t>
            </w:r>
          </w:p>
        </w:tc>
        <w:tc>
          <w:tcPr>
            <w:tcW w:w="4678" w:type="dxa"/>
          </w:tcPr>
          <w:p w:rsidR="00670767" w:rsidRPr="002978E6" w:rsidRDefault="00670767" w:rsidP="005E1428">
            <w:r w:rsidRPr="00361B4F">
              <w:rPr>
                <w:lang w:eastAsia="ja-JP"/>
              </w:rPr>
              <w:t>For and while statements, Boolean variables</w:t>
            </w:r>
            <w:r>
              <w:rPr>
                <w:lang w:eastAsia="ja-JP"/>
              </w:rPr>
              <w:t>, documentation, programming sound, movieclips within movieclips</w:t>
            </w:r>
          </w:p>
        </w:tc>
        <w:tc>
          <w:tcPr>
            <w:tcW w:w="2268" w:type="dxa"/>
          </w:tcPr>
          <w:p w:rsidR="00670767" w:rsidRDefault="00670767" w:rsidP="005E4457"/>
          <w:p w:rsidR="00670767" w:rsidRDefault="00670767" w:rsidP="005E4457"/>
          <w:p w:rsidR="00670767" w:rsidRDefault="00670767" w:rsidP="005E4457"/>
        </w:tc>
      </w:tr>
      <w:tr w:rsidR="00670767">
        <w:tblPrEx>
          <w:tblCellMar>
            <w:top w:w="0" w:type="dxa"/>
            <w:bottom w:w="0" w:type="dxa"/>
          </w:tblCellMar>
        </w:tblPrEx>
        <w:tc>
          <w:tcPr>
            <w:tcW w:w="2235" w:type="dxa"/>
          </w:tcPr>
          <w:p w:rsidR="00670767" w:rsidRDefault="00670767" w:rsidP="005E4457">
            <w:pPr>
              <w:rPr>
                <w:b/>
                <w:bCs/>
              </w:rPr>
            </w:pPr>
            <w:r>
              <w:rPr>
                <w:b/>
                <w:bCs/>
              </w:rPr>
              <w:t>Week 5</w:t>
            </w:r>
          </w:p>
          <w:p w:rsidR="00670767" w:rsidRDefault="00670767" w:rsidP="005E4457">
            <w:pPr>
              <w:pStyle w:val="Header"/>
              <w:tabs>
                <w:tab w:val="clear" w:pos="4153"/>
                <w:tab w:val="clear" w:pos="8306"/>
              </w:tabs>
            </w:pPr>
            <w:r>
              <w:t>(24 May – 28 May)</w:t>
            </w:r>
          </w:p>
        </w:tc>
        <w:tc>
          <w:tcPr>
            <w:tcW w:w="4678" w:type="dxa"/>
          </w:tcPr>
          <w:p w:rsidR="00670767" w:rsidRDefault="00670767" w:rsidP="005E1428">
            <w:r>
              <w:t>Collision detection, introducing concepts of speed and acceleration.</w:t>
            </w:r>
          </w:p>
        </w:tc>
        <w:tc>
          <w:tcPr>
            <w:tcW w:w="2268" w:type="dxa"/>
          </w:tcPr>
          <w:p w:rsidR="00670767" w:rsidRDefault="00670767" w:rsidP="005E4457"/>
          <w:p w:rsidR="00670767" w:rsidRDefault="00670767" w:rsidP="005E4457"/>
          <w:p w:rsidR="00670767" w:rsidRDefault="00670767" w:rsidP="005E4457"/>
        </w:tc>
      </w:tr>
      <w:tr w:rsidR="00670767">
        <w:tblPrEx>
          <w:tblCellMar>
            <w:top w:w="0" w:type="dxa"/>
            <w:bottom w:w="0" w:type="dxa"/>
          </w:tblCellMar>
        </w:tblPrEx>
        <w:tc>
          <w:tcPr>
            <w:tcW w:w="2235" w:type="dxa"/>
          </w:tcPr>
          <w:p w:rsidR="00670767" w:rsidRDefault="00670767" w:rsidP="005E4457">
            <w:pPr>
              <w:rPr>
                <w:b/>
                <w:bCs/>
              </w:rPr>
            </w:pPr>
            <w:r>
              <w:rPr>
                <w:b/>
                <w:bCs/>
              </w:rPr>
              <w:t>Week 6</w:t>
            </w:r>
          </w:p>
          <w:p w:rsidR="00670767" w:rsidRDefault="00670767" w:rsidP="005E4457">
            <w:pPr>
              <w:pStyle w:val="Header"/>
              <w:tabs>
                <w:tab w:val="clear" w:pos="4153"/>
                <w:tab w:val="clear" w:pos="8306"/>
              </w:tabs>
            </w:pPr>
            <w:r>
              <w:t>(31 May – 4 June)</w:t>
            </w:r>
          </w:p>
        </w:tc>
        <w:tc>
          <w:tcPr>
            <w:tcW w:w="4678" w:type="dxa"/>
          </w:tcPr>
          <w:p w:rsidR="00670767" w:rsidRDefault="00703181" w:rsidP="005E1428">
            <w:r>
              <w:t>Studying more complex games to learn additional programming strategies and methodologies.</w:t>
            </w:r>
          </w:p>
        </w:tc>
        <w:tc>
          <w:tcPr>
            <w:tcW w:w="2268" w:type="dxa"/>
          </w:tcPr>
          <w:p w:rsidR="00670767" w:rsidRDefault="00670767" w:rsidP="005E4457"/>
          <w:p w:rsidR="00670767" w:rsidRDefault="00670767" w:rsidP="005E4457">
            <w:r>
              <w:t>Open Day June 1</w:t>
            </w:r>
          </w:p>
          <w:p w:rsidR="00670767" w:rsidRDefault="00670767" w:rsidP="005E4457">
            <w:pPr>
              <w:pStyle w:val="Heading4"/>
              <w:framePr w:wrap="auto"/>
              <w:rPr>
                <w:rFonts w:ascii="Arial" w:hAnsi="Arial" w:cs="Arial"/>
                <w:bCs w:val="0"/>
              </w:rPr>
            </w:pPr>
          </w:p>
        </w:tc>
      </w:tr>
      <w:tr w:rsidR="00670767">
        <w:tblPrEx>
          <w:tblCellMar>
            <w:top w:w="0" w:type="dxa"/>
            <w:bottom w:w="0" w:type="dxa"/>
          </w:tblCellMar>
        </w:tblPrEx>
        <w:tc>
          <w:tcPr>
            <w:tcW w:w="2235" w:type="dxa"/>
          </w:tcPr>
          <w:p w:rsidR="00670767" w:rsidRDefault="00670767" w:rsidP="005E4457">
            <w:pPr>
              <w:rPr>
                <w:b/>
                <w:bCs/>
              </w:rPr>
            </w:pPr>
            <w:r>
              <w:rPr>
                <w:b/>
                <w:bCs/>
              </w:rPr>
              <w:t>Week 7</w:t>
            </w:r>
          </w:p>
          <w:p w:rsidR="00670767" w:rsidRDefault="00670767" w:rsidP="005E4457">
            <w:pPr>
              <w:pStyle w:val="Header"/>
              <w:tabs>
                <w:tab w:val="clear" w:pos="4153"/>
                <w:tab w:val="clear" w:pos="8306"/>
              </w:tabs>
            </w:pPr>
            <w:r>
              <w:t>(7 – 11 June)</w:t>
            </w:r>
          </w:p>
          <w:p w:rsidR="00670767" w:rsidRDefault="00670767" w:rsidP="005E4457">
            <w:pPr>
              <w:pStyle w:val="Header"/>
              <w:tabs>
                <w:tab w:val="clear" w:pos="4153"/>
                <w:tab w:val="clear" w:pos="8306"/>
              </w:tabs>
            </w:pPr>
          </w:p>
        </w:tc>
        <w:tc>
          <w:tcPr>
            <w:tcW w:w="4678" w:type="dxa"/>
          </w:tcPr>
          <w:p w:rsidR="00670767" w:rsidRDefault="00703181" w:rsidP="00670767">
            <w:pPr>
              <w:pStyle w:val="Header"/>
              <w:tabs>
                <w:tab w:val="clear" w:pos="4153"/>
                <w:tab w:val="clear" w:pos="8306"/>
              </w:tabs>
            </w:pPr>
            <w:r>
              <w:t>Flash Individual Games Project out</w:t>
            </w:r>
          </w:p>
        </w:tc>
        <w:tc>
          <w:tcPr>
            <w:tcW w:w="2268" w:type="dxa"/>
          </w:tcPr>
          <w:p w:rsidR="00670767" w:rsidRDefault="00670767" w:rsidP="005E4457"/>
        </w:tc>
      </w:tr>
      <w:tr w:rsidR="00670767">
        <w:tblPrEx>
          <w:tblCellMar>
            <w:top w:w="0" w:type="dxa"/>
            <w:bottom w:w="0" w:type="dxa"/>
          </w:tblCellMar>
        </w:tblPrEx>
        <w:tc>
          <w:tcPr>
            <w:tcW w:w="2235" w:type="dxa"/>
          </w:tcPr>
          <w:p w:rsidR="00670767" w:rsidRDefault="00670767" w:rsidP="005E4457">
            <w:pPr>
              <w:rPr>
                <w:b/>
                <w:bCs/>
              </w:rPr>
            </w:pPr>
            <w:r>
              <w:rPr>
                <w:b/>
                <w:bCs/>
              </w:rPr>
              <w:t>Week 8</w:t>
            </w:r>
          </w:p>
          <w:p w:rsidR="00670767" w:rsidRDefault="00670767" w:rsidP="005E4457">
            <w:pPr>
              <w:pStyle w:val="Header"/>
              <w:tabs>
                <w:tab w:val="clear" w:pos="4153"/>
                <w:tab w:val="clear" w:pos="8306"/>
              </w:tabs>
            </w:pPr>
            <w:r>
              <w:t>(14 – 18 June)</w:t>
            </w:r>
          </w:p>
          <w:p w:rsidR="00670767" w:rsidRDefault="00670767" w:rsidP="005E4457">
            <w:pPr>
              <w:pStyle w:val="Header"/>
              <w:tabs>
                <w:tab w:val="clear" w:pos="4153"/>
                <w:tab w:val="clear" w:pos="8306"/>
              </w:tabs>
              <w:ind w:right="-108"/>
              <w:rPr>
                <w:b/>
                <w:bCs/>
                <w:sz w:val="16"/>
              </w:rPr>
            </w:pPr>
          </w:p>
        </w:tc>
        <w:tc>
          <w:tcPr>
            <w:tcW w:w="4678" w:type="dxa"/>
          </w:tcPr>
          <w:p w:rsidR="00670767" w:rsidRDefault="00670767" w:rsidP="005E1428">
            <w:r>
              <w:t>Flash Individual Games Project due</w:t>
            </w:r>
          </w:p>
        </w:tc>
        <w:tc>
          <w:tcPr>
            <w:tcW w:w="2268" w:type="dxa"/>
          </w:tcPr>
          <w:p w:rsidR="00670767" w:rsidRDefault="00670767" w:rsidP="005E4457">
            <w:pPr>
              <w:rPr>
                <w:b/>
                <w:bCs/>
              </w:rPr>
            </w:pPr>
            <w:smartTag w:uri="urn:schemas-microsoft-com:office:smarttags" w:element="place">
              <w:r>
                <w:rPr>
                  <w:b/>
                  <w:bCs/>
                </w:rPr>
                <w:t>Queens</w:t>
              </w:r>
            </w:smartTag>
            <w:r>
              <w:rPr>
                <w:b/>
                <w:bCs/>
              </w:rPr>
              <w:t xml:space="preserve"> Birthday</w:t>
            </w:r>
          </w:p>
          <w:p w:rsidR="00670767" w:rsidRDefault="00670767" w:rsidP="005E4457">
            <w:r>
              <w:rPr>
                <w:b/>
                <w:bCs/>
              </w:rPr>
              <w:t>Monday 14 June</w:t>
            </w:r>
          </w:p>
          <w:p w:rsidR="00670767" w:rsidRDefault="00670767" w:rsidP="005E4457">
            <w:r>
              <w:t>Maths/Science tests (Thursday)</w:t>
            </w:r>
          </w:p>
        </w:tc>
      </w:tr>
      <w:tr w:rsidR="00670767">
        <w:tblPrEx>
          <w:tblCellMar>
            <w:top w:w="0" w:type="dxa"/>
            <w:bottom w:w="0" w:type="dxa"/>
          </w:tblCellMar>
        </w:tblPrEx>
        <w:tc>
          <w:tcPr>
            <w:tcW w:w="2235" w:type="dxa"/>
          </w:tcPr>
          <w:p w:rsidR="00670767" w:rsidRDefault="00670767" w:rsidP="005E4457">
            <w:pPr>
              <w:rPr>
                <w:b/>
                <w:bCs/>
              </w:rPr>
            </w:pPr>
            <w:r>
              <w:rPr>
                <w:b/>
                <w:bCs/>
              </w:rPr>
              <w:t>Week 9</w:t>
            </w:r>
          </w:p>
          <w:p w:rsidR="00670767" w:rsidRDefault="00670767" w:rsidP="005E4457">
            <w:pPr>
              <w:pStyle w:val="Header"/>
              <w:tabs>
                <w:tab w:val="clear" w:pos="4153"/>
                <w:tab w:val="clear" w:pos="8306"/>
              </w:tabs>
            </w:pPr>
            <w:r>
              <w:t>(21 – 25 June)</w:t>
            </w:r>
          </w:p>
        </w:tc>
        <w:tc>
          <w:tcPr>
            <w:tcW w:w="4678" w:type="dxa"/>
          </w:tcPr>
          <w:p w:rsidR="00670767" w:rsidRDefault="00703181" w:rsidP="005E1428">
            <w:r>
              <w:t>Arrays (one dimensional), Enumerated Data Types, User defined data types, Records, Software Development Methodology</w:t>
            </w:r>
          </w:p>
        </w:tc>
        <w:tc>
          <w:tcPr>
            <w:tcW w:w="2268" w:type="dxa"/>
          </w:tcPr>
          <w:p w:rsidR="00670767" w:rsidRDefault="00670767" w:rsidP="005E4457">
            <w:r>
              <w:t>Maths/Science tests</w:t>
            </w:r>
          </w:p>
          <w:p w:rsidR="00670767" w:rsidRDefault="00670767" w:rsidP="005E4457">
            <w:r>
              <w:t>(Monday)</w:t>
            </w:r>
          </w:p>
          <w:p w:rsidR="00670767" w:rsidRDefault="00670767" w:rsidP="005E4457"/>
        </w:tc>
      </w:tr>
      <w:tr w:rsidR="00670767">
        <w:tblPrEx>
          <w:tblCellMar>
            <w:top w:w="0" w:type="dxa"/>
            <w:bottom w:w="0" w:type="dxa"/>
          </w:tblCellMar>
        </w:tblPrEx>
        <w:tc>
          <w:tcPr>
            <w:tcW w:w="2235" w:type="dxa"/>
            <w:tcBorders>
              <w:bottom w:val="single" w:sz="4" w:space="0" w:color="auto"/>
            </w:tcBorders>
          </w:tcPr>
          <w:p w:rsidR="00670767" w:rsidRDefault="00670767" w:rsidP="005E4457">
            <w:pPr>
              <w:rPr>
                <w:b/>
                <w:bCs/>
              </w:rPr>
            </w:pPr>
            <w:r>
              <w:rPr>
                <w:b/>
                <w:bCs/>
              </w:rPr>
              <w:t>Week 10</w:t>
            </w:r>
          </w:p>
          <w:p w:rsidR="00670767" w:rsidRDefault="00670767" w:rsidP="005E4457">
            <w:pPr>
              <w:pStyle w:val="Header"/>
              <w:tabs>
                <w:tab w:val="clear" w:pos="4153"/>
                <w:tab w:val="clear" w:pos="8306"/>
              </w:tabs>
            </w:pPr>
            <w:r>
              <w:t>(28 June – 2 July)</w:t>
            </w:r>
          </w:p>
          <w:p w:rsidR="00670767" w:rsidRDefault="00670767" w:rsidP="005E4457">
            <w:pPr>
              <w:pStyle w:val="Header"/>
              <w:tabs>
                <w:tab w:val="clear" w:pos="4153"/>
                <w:tab w:val="clear" w:pos="8306"/>
              </w:tabs>
            </w:pPr>
          </w:p>
        </w:tc>
        <w:tc>
          <w:tcPr>
            <w:tcW w:w="4678" w:type="dxa"/>
            <w:tcBorders>
              <w:bottom w:val="single" w:sz="4" w:space="0" w:color="auto"/>
            </w:tcBorders>
          </w:tcPr>
          <w:p w:rsidR="00670767" w:rsidRDefault="00703181" w:rsidP="005E1428">
            <w:r>
              <w:t>Sorting methodologies, Modular programming techniques, use of Sequential text files, 2 dimensional arrays</w:t>
            </w:r>
          </w:p>
        </w:tc>
        <w:tc>
          <w:tcPr>
            <w:tcW w:w="2268" w:type="dxa"/>
            <w:tcBorders>
              <w:bottom w:val="single" w:sz="4" w:space="0" w:color="auto"/>
            </w:tcBorders>
          </w:tcPr>
          <w:p w:rsidR="00670767" w:rsidRDefault="00670767" w:rsidP="005E4457">
            <w:pPr>
              <w:rPr>
                <w:b/>
                <w:bCs/>
              </w:rPr>
            </w:pPr>
            <w:r>
              <w:rPr>
                <w:b/>
                <w:bCs/>
              </w:rPr>
              <w:t>Parent Teacher Afternoon 29 June</w:t>
            </w:r>
          </w:p>
        </w:tc>
      </w:tr>
      <w:tr w:rsidR="00670767">
        <w:tblPrEx>
          <w:tblCellMar>
            <w:top w:w="0" w:type="dxa"/>
            <w:bottom w:w="0" w:type="dxa"/>
          </w:tblCellMar>
        </w:tblPrEx>
        <w:tc>
          <w:tcPr>
            <w:tcW w:w="2235" w:type="dxa"/>
            <w:shd w:val="pct15" w:color="auto" w:fill="auto"/>
          </w:tcPr>
          <w:p w:rsidR="00670767" w:rsidRDefault="00670767" w:rsidP="005E4457">
            <w:pPr>
              <w:rPr>
                <w:b/>
                <w:bCs/>
              </w:rPr>
            </w:pPr>
            <w:r>
              <w:rPr>
                <w:b/>
                <w:bCs/>
              </w:rPr>
              <w:t>5 July – 16 July</w:t>
            </w:r>
          </w:p>
          <w:p w:rsidR="00670767" w:rsidRDefault="00670767" w:rsidP="005E4457">
            <w:pPr>
              <w:rPr>
                <w:b/>
                <w:bCs/>
              </w:rPr>
            </w:pPr>
          </w:p>
          <w:p w:rsidR="00670767" w:rsidRDefault="00670767" w:rsidP="005E4457">
            <w:pPr>
              <w:rPr>
                <w:b/>
                <w:bCs/>
              </w:rPr>
            </w:pPr>
          </w:p>
        </w:tc>
        <w:tc>
          <w:tcPr>
            <w:tcW w:w="4678" w:type="dxa"/>
            <w:shd w:val="pct15" w:color="auto" w:fill="auto"/>
          </w:tcPr>
          <w:p w:rsidR="00670767" w:rsidRDefault="00670767" w:rsidP="005E4457">
            <w:pPr>
              <w:jc w:val="center"/>
              <w:rPr>
                <w:b/>
                <w:bCs/>
              </w:rPr>
            </w:pPr>
          </w:p>
          <w:p w:rsidR="00670767" w:rsidRDefault="00670767" w:rsidP="005E4457">
            <w:pPr>
              <w:jc w:val="center"/>
            </w:pPr>
            <w:r>
              <w:rPr>
                <w:b/>
                <w:bCs/>
              </w:rPr>
              <w:t>School Holidays</w:t>
            </w:r>
          </w:p>
        </w:tc>
        <w:tc>
          <w:tcPr>
            <w:tcW w:w="2268" w:type="dxa"/>
            <w:shd w:val="pct15" w:color="auto" w:fill="auto"/>
          </w:tcPr>
          <w:p w:rsidR="00670767" w:rsidRDefault="00670767" w:rsidP="005E4457"/>
        </w:tc>
      </w:tr>
      <w:tr w:rsidR="00670767">
        <w:tblPrEx>
          <w:tblCellMar>
            <w:top w:w="0" w:type="dxa"/>
            <w:bottom w:w="0" w:type="dxa"/>
          </w:tblCellMar>
        </w:tblPrEx>
        <w:tc>
          <w:tcPr>
            <w:tcW w:w="2235" w:type="dxa"/>
          </w:tcPr>
          <w:p w:rsidR="00670767" w:rsidRDefault="00670767" w:rsidP="005E4457">
            <w:pPr>
              <w:rPr>
                <w:b/>
                <w:bCs/>
              </w:rPr>
            </w:pPr>
            <w:r>
              <w:rPr>
                <w:b/>
                <w:bCs/>
              </w:rPr>
              <w:t>Week 11</w:t>
            </w:r>
          </w:p>
          <w:p w:rsidR="00670767" w:rsidRDefault="00670767" w:rsidP="005E4457">
            <w:pPr>
              <w:pStyle w:val="Header"/>
              <w:tabs>
                <w:tab w:val="clear" w:pos="4153"/>
                <w:tab w:val="clear" w:pos="8306"/>
              </w:tabs>
            </w:pPr>
            <w:r>
              <w:t>(19 – 23 July)</w:t>
            </w:r>
          </w:p>
        </w:tc>
        <w:tc>
          <w:tcPr>
            <w:tcW w:w="4678" w:type="dxa"/>
          </w:tcPr>
          <w:p w:rsidR="00670767" w:rsidRDefault="00703181" w:rsidP="005E1428">
            <w:r>
              <w:t>Flash Game Programming Group Project out.</w:t>
            </w:r>
          </w:p>
        </w:tc>
        <w:tc>
          <w:tcPr>
            <w:tcW w:w="2268" w:type="dxa"/>
          </w:tcPr>
          <w:p w:rsidR="00670767" w:rsidRDefault="00670767" w:rsidP="005E4457"/>
          <w:p w:rsidR="00670767" w:rsidRDefault="00670767" w:rsidP="005E4457"/>
        </w:tc>
      </w:tr>
      <w:tr w:rsidR="00670767">
        <w:tblPrEx>
          <w:tblCellMar>
            <w:top w:w="0" w:type="dxa"/>
            <w:bottom w:w="0" w:type="dxa"/>
          </w:tblCellMar>
        </w:tblPrEx>
        <w:tc>
          <w:tcPr>
            <w:tcW w:w="2235" w:type="dxa"/>
          </w:tcPr>
          <w:p w:rsidR="00670767" w:rsidRDefault="00670767" w:rsidP="005E4457">
            <w:pPr>
              <w:rPr>
                <w:b/>
                <w:bCs/>
              </w:rPr>
            </w:pPr>
            <w:r>
              <w:rPr>
                <w:b/>
                <w:bCs/>
              </w:rPr>
              <w:t>Week 12</w:t>
            </w:r>
          </w:p>
          <w:p w:rsidR="00670767" w:rsidRDefault="00670767" w:rsidP="005E4457">
            <w:pPr>
              <w:pStyle w:val="Header"/>
              <w:tabs>
                <w:tab w:val="clear" w:pos="4153"/>
                <w:tab w:val="clear" w:pos="8306"/>
              </w:tabs>
            </w:pPr>
            <w:r>
              <w:t>(26 – 30 July)</w:t>
            </w:r>
          </w:p>
        </w:tc>
        <w:tc>
          <w:tcPr>
            <w:tcW w:w="4678" w:type="dxa"/>
          </w:tcPr>
          <w:p w:rsidR="00670767" w:rsidRPr="00054A63" w:rsidRDefault="00703181" w:rsidP="005E1428">
            <w:pPr>
              <w:rPr>
                <w:bCs/>
              </w:rPr>
            </w:pPr>
            <w:r>
              <w:t>Flash Game programming Project</w:t>
            </w:r>
          </w:p>
        </w:tc>
        <w:tc>
          <w:tcPr>
            <w:tcW w:w="2268" w:type="dxa"/>
          </w:tcPr>
          <w:p w:rsidR="00670767" w:rsidRDefault="00670767" w:rsidP="005E4457">
            <w:pPr>
              <w:rPr>
                <w:b/>
              </w:rPr>
            </w:pPr>
          </w:p>
          <w:p w:rsidR="00670767" w:rsidRDefault="00670767" w:rsidP="005E4457">
            <w:pPr>
              <w:rPr>
                <w:b/>
              </w:rPr>
            </w:pPr>
          </w:p>
        </w:tc>
      </w:tr>
      <w:tr w:rsidR="00054A63">
        <w:tblPrEx>
          <w:tblCellMar>
            <w:top w:w="0" w:type="dxa"/>
            <w:bottom w:w="0" w:type="dxa"/>
          </w:tblCellMar>
        </w:tblPrEx>
        <w:tc>
          <w:tcPr>
            <w:tcW w:w="2235" w:type="dxa"/>
          </w:tcPr>
          <w:p w:rsidR="00054A63" w:rsidRDefault="00054A63" w:rsidP="005E4457">
            <w:pPr>
              <w:rPr>
                <w:b/>
                <w:bCs/>
              </w:rPr>
            </w:pPr>
            <w:r>
              <w:rPr>
                <w:b/>
                <w:bCs/>
              </w:rPr>
              <w:t>Week 13</w:t>
            </w:r>
          </w:p>
          <w:p w:rsidR="00054A63" w:rsidRDefault="00054A63" w:rsidP="005E4457">
            <w:pPr>
              <w:pStyle w:val="Header"/>
              <w:tabs>
                <w:tab w:val="clear" w:pos="4153"/>
                <w:tab w:val="clear" w:pos="8306"/>
              </w:tabs>
            </w:pPr>
            <w:r>
              <w:t>(2 – 6 August)</w:t>
            </w:r>
          </w:p>
        </w:tc>
        <w:tc>
          <w:tcPr>
            <w:tcW w:w="4678" w:type="dxa"/>
          </w:tcPr>
          <w:p w:rsidR="00054A63" w:rsidRDefault="00703181" w:rsidP="00E24644">
            <w:pPr>
              <w:rPr>
                <w:b/>
                <w:bCs/>
              </w:rPr>
            </w:pPr>
            <w:r>
              <w:t>Flash Game programming Project</w:t>
            </w:r>
          </w:p>
        </w:tc>
        <w:tc>
          <w:tcPr>
            <w:tcW w:w="2268" w:type="dxa"/>
          </w:tcPr>
          <w:p w:rsidR="00054A63" w:rsidRDefault="00054A63" w:rsidP="005E4457"/>
          <w:p w:rsidR="00054A63" w:rsidRDefault="00054A63" w:rsidP="005E4457"/>
        </w:tc>
      </w:tr>
      <w:tr w:rsidR="00054A63">
        <w:tblPrEx>
          <w:tblCellMar>
            <w:top w:w="0" w:type="dxa"/>
            <w:bottom w:w="0" w:type="dxa"/>
          </w:tblCellMar>
        </w:tblPrEx>
        <w:tc>
          <w:tcPr>
            <w:tcW w:w="2235" w:type="dxa"/>
          </w:tcPr>
          <w:p w:rsidR="00054A63" w:rsidRDefault="00054A63" w:rsidP="005E4457">
            <w:pPr>
              <w:rPr>
                <w:b/>
                <w:bCs/>
              </w:rPr>
            </w:pPr>
            <w:r>
              <w:rPr>
                <w:b/>
                <w:bCs/>
              </w:rPr>
              <w:t>Week 14</w:t>
            </w:r>
          </w:p>
          <w:p w:rsidR="00054A63" w:rsidRDefault="00054A63" w:rsidP="005E4457">
            <w:pPr>
              <w:pStyle w:val="Header"/>
              <w:tabs>
                <w:tab w:val="clear" w:pos="4153"/>
                <w:tab w:val="clear" w:pos="8306"/>
              </w:tabs>
            </w:pPr>
            <w:r>
              <w:t>(9 – 13 August)</w:t>
            </w:r>
          </w:p>
        </w:tc>
        <w:tc>
          <w:tcPr>
            <w:tcW w:w="4678" w:type="dxa"/>
          </w:tcPr>
          <w:p w:rsidR="00054A63" w:rsidRDefault="00054A63" w:rsidP="00E24644">
            <w:r>
              <w:t>Flash Game programming Project</w:t>
            </w:r>
          </w:p>
        </w:tc>
        <w:tc>
          <w:tcPr>
            <w:tcW w:w="2268" w:type="dxa"/>
          </w:tcPr>
          <w:p w:rsidR="00054A63" w:rsidRDefault="00054A63" w:rsidP="005E4457">
            <w:pPr>
              <w:rPr>
                <w:b/>
                <w:bCs/>
              </w:rPr>
            </w:pPr>
            <w:r>
              <w:rPr>
                <w:b/>
                <w:bCs/>
              </w:rPr>
              <w:t xml:space="preserve">Moderation Day </w:t>
            </w:r>
          </w:p>
          <w:p w:rsidR="00054A63" w:rsidRPr="00703181" w:rsidRDefault="00054A63" w:rsidP="005E4457">
            <w:pPr>
              <w:rPr>
                <w:b/>
                <w:bCs/>
              </w:rPr>
            </w:pPr>
            <w:r>
              <w:rPr>
                <w:b/>
                <w:bCs/>
              </w:rPr>
              <w:t>Thurs 12 August</w:t>
            </w:r>
          </w:p>
        </w:tc>
      </w:tr>
      <w:tr w:rsidR="00054A63">
        <w:tblPrEx>
          <w:tblCellMar>
            <w:top w:w="0" w:type="dxa"/>
            <w:bottom w:w="0" w:type="dxa"/>
          </w:tblCellMar>
        </w:tblPrEx>
        <w:trPr>
          <w:trHeight w:val="543"/>
        </w:trPr>
        <w:tc>
          <w:tcPr>
            <w:tcW w:w="2235" w:type="dxa"/>
            <w:tcBorders>
              <w:bottom w:val="single" w:sz="4" w:space="0" w:color="auto"/>
            </w:tcBorders>
          </w:tcPr>
          <w:p w:rsidR="00054A63" w:rsidRDefault="00054A63" w:rsidP="005E4457">
            <w:pPr>
              <w:rPr>
                <w:b/>
                <w:bCs/>
              </w:rPr>
            </w:pPr>
            <w:r>
              <w:rPr>
                <w:b/>
                <w:bCs/>
              </w:rPr>
              <w:t>Week 15</w:t>
            </w:r>
          </w:p>
          <w:p w:rsidR="00054A63" w:rsidRPr="00820D3C" w:rsidRDefault="00054A63" w:rsidP="005E4457">
            <w:r>
              <w:t>(16 – 20 August)</w:t>
            </w:r>
          </w:p>
        </w:tc>
        <w:tc>
          <w:tcPr>
            <w:tcW w:w="4678" w:type="dxa"/>
            <w:tcBorders>
              <w:bottom w:val="single" w:sz="4" w:space="0" w:color="auto"/>
            </w:tcBorders>
          </w:tcPr>
          <w:p w:rsidR="00054A63" w:rsidRDefault="00054A63" w:rsidP="00E24644">
            <w:r>
              <w:t>Flash Game Programming Project</w:t>
            </w:r>
          </w:p>
        </w:tc>
        <w:tc>
          <w:tcPr>
            <w:tcW w:w="2268" w:type="dxa"/>
            <w:tcBorders>
              <w:bottom w:val="single" w:sz="4" w:space="0" w:color="auto"/>
            </w:tcBorders>
          </w:tcPr>
          <w:p w:rsidR="00054A63" w:rsidRPr="00820D3C" w:rsidRDefault="00054A63" w:rsidP="005E4457"/>
        </w:tc>
      </w:tr>
      <w:tr w:rsidR="00054A63">
        <w:tblPrEx>
          <w:tblCellMar>
            <w:top w:w="0" w:type="dxa"/>
            <w:bottom w:w="0" w:type="dxa"/>
          </w:tblCellMar>
        </w:tblPrEx>
        <w:tc>
          <w:tcPr>
            <w:tcW w:w="2235" w:type="dxa"/>
            <w:tcBorders>
              <w:bottom w:val="single" w:sz="4" w:space="0" w:color="auto"/>
            </w:tcBorders>
            <w:shd w:val="clear" w:color="auto" w:fill="FFFFFF"/>
          </w:tcPr>
          <w:p w:rsidR="00054A63" w:rsidRDefault="00054A63" w:rsidP="005E4457">
            <w:pPr>
              <w:rPr>
                <w:b/>
                <w:bCs/>
              </w:rPr>
            </w:pPr>
            <w:r>
              <w:rPr>
                <w:b/>
                <w:bCs/>
              </w:rPr>
              <w:t>Week 16</w:t>
            </w:r>
          </w:p>
          <w:p w:rsidR="00054A63" w:rsidRDefault="00054A63" w:rsidP="005E4457">
            <w:pPr>
              <w:pStyle w:val="Header"/>
              <w:tabs>
                <w:tab w:val="clear" w:pos="4153"/>
                <w:tab w:val="clear" w:pos="8306"/>
              </w:tabs>
            </w:pPr>
            <w:r>
              <w:t>(23 – 27 August)</w:t>
            </w:r>
          </w:p>
        </w:tc>
        <w:tc>
          <w:tcPr>
            <w:tcW w:w="4678" w:type="dxa"/>
            <w:tcBorders>
              <w:bottom w:val="single" w:sz="4" w:space="0" w:color="auto"/>
            </w:tcBorders>
            <w:shd w:val="clear" w:color="auto" w:fill="FFFFFF"/>
          </w:tcPr>
          <w:p w:rsidR="00054A63" w:rsidRDefault="00054A63" w:rsidP="005E1428">
            <w:r>
              <w:t xml:space="preserve"> Flash Game Programming Group project due</w:t>
            </w:r>
          </w:p>
        </w:tc>
        <w:tc>
          <w:tcPr>
            <w:tcW w:w="2268" w:type="dxa"/>
            <w:tcBorders>
              <w:bottom w:val="single" w:sz="4" w:space="0" w:color="auto"/>
            </w:tcBorders>
            <w:shd w:val="clear" w:color="auto" w:fill="FFFFFF"/>
          </w:tcPr>
          <w:p w:rsidR="00054A63" w:rsidRDefault="00054A63" w:rsidP="005E4457"/>
        </w:tc>
      </w:tr>
      <w:tr w:rsidR="00054A63">
        <w:tblPrEx>
          <w:tblCellMar>
            <w:top w:w="0" w:type="dxa"/>
            <w:bottom w:w="0" w:type="dxa"/>
          </w:tblCellMar>
        </w:tblPrEx>
        <w:tc>
          <w:tcPr>
            <w:tcW w:w="2235" w:type="dxa"/>
            <w:tcBorders>
              <w:bottom w:val="single" w:sz="4" w:space="0" w:color="auto"/>
            </w:tcBorders>
            <w:shd w:val="clear" w:color="auto" w:fill="FFFFFF"/>
          </w:tcPr>
          <w:p w:rsidR="00054A63" w:rsidRDefault="00054A63" w:rsidP="005E4457">
            <w:pPr>
              <w:rPr>
                <w:b/>
                <w:bCs/>
              </w:rPr>
            </w:pPr>
            <w:r>
              <w:rPr>
                <w:b/>
                <w:bCs/>
              </w:rPr>
              <w:t>Week 17</w:t>
            </w:r>
          </w:p>
          <w:p w:rsidR="00054A63" w:rsidRDefault="00054A63" w:rsidP="005E4457">
            <w:pPr>
              <w:rPr>
                <w:b/>
                <w:bCs/>
              </w:rPr>
            </w:pPr>
            <w:r>
              <w:t>(30 Aug - 3 Sept)</w:t>
            </w:r>
          </w:p>
        </w:tc>
        <w:tc>
          <w:tcPr>
            <w:tcW w:w="4678" w:type="dxa"/>
            <w:tcBorders>
              <w:bottom w:val="single" w:sz="4" w:space="0" w:color="auto"/>
            </w:tcBorders>
            <w:shd w:val="clear" w:color="auto" w:fill="FFFFFF"/>
          </w:tcPr>
          <w:p w:rsidR="00054A63" w:rsidRDefault="00054A63" w:rsidP="005E1428">
            <w:r>
              <w:t>Flash Game Programming Practical Test</w:t>
            </w:r>
          </w:p>
        </w:tc>
        <w:tc>
          <w:tcPr>
            <w:tcW w:w="2268" w:type="dxa"/>
            <w:tcBorders>
              <w:bottom w:val="single" w:sz="4" w:space="0" w:color="auto"/>
            </w:tcBorders>
            <w:shd w:val="clear" w:color="auto" w:fill="FFFFFF"/>
          </w:tcPr>
          <w:p w:rsidR="00054A63" w:rsidRDefault="00054A63" w:rsidP="005E4457">
            <w:pPr>
              <w:rPr>
                <w:b/>
                <w:bCs/>
              </w:rPr>
            </w:pPr>
            <w:r>
              <w:rPr>
                <w:b/>
                <w:bCs/>
              </w:rPr>
              <w:t>Crossline Test Week</w:t>
            </w:r>
          </w:p>
          <w:p w:rsidR="00054A63" w:rsidRDefault="00054A63" w:rsidP="005E4457">
            <w:pPr>
              <w:rPr>
                <w:b/>
                <w:bCs/>
              </w:rPr>
            </w:pPr>
            <w:r>
              <w:rPr>
                <w:b/>
                <w:bCs/>
              </w:rPr>
              <w:t>30 Aug – 3 Sept)</w:t>
            </w:r>
          </w:p>
        </w:tc>
      </w:tr>
      <w:tr w:rsidR="00054A63">
        <w:tblPrEx>
          <w:tblCellMar>
            <w:top w:w="0" w:type="dxa"/>
            <w:bottom w:w="0" w:type="dxa"/>
          </w:tblCellMar>
        </w:tblPrEx>
        <w:tc>
          <w:tcPr>
            <w:tcW w:w="2235" w:type="dxa"/>
            <w:shd w:val="pct15" w:color="auto" w:fill="auto"/>
          </w:tcPr>
          <w:p w:rsidR="00054A63" w:rsidRDefault="00054A63" w:rsidP="005E4457">
            <w:pPr>
              <w:pStyle w:val="Header"/>
              <w:tabs>
                <w:tab w:val="clear" w:pos="4153"/>
                <w:tab w:val="clear" w:pos="8306"/>
              </w:tabs>
              <w:rPr>
                <w:b/>
                <w:bCs/>
              </w:rPr>
            </w:pPr>
            <w:r>
              <w:rPr>
                <w:b/>
                <w:bCs/>
              </w:rPr>
              <w:t xml:space="preserve">Week 18 </w:t>
            </w:r>
          </w:p>
          <w:p w:rsidR="00054A63" w:rsidRPr="00687951" w:rsidRDefault="00054A63" w:rsidP="005E4457">
            <w:pPr>
              <w:pStyle w:val="Header"/>
              <w:tabs>
                <w:tab w:val="clear" w:pos="4153"/>
                <w:tab w:val="clear" w:pos="8306"/>
              </w:tabs>
              <w:rPr>
                <w:bCs/>
              </w:rPr>
            </w:pPr>
            <w:r>
              <w:rPr>
                <w:bCs/>
              </w:rPr>
              <w:t>(6 -10 September)</w:t>
            </w:r>
          </w:p>
        </w:tc>
        <w:tc>
          <w:tcPr>
            <w:tcW w:w="4678" w:type="dxa"/>
            <w:shd w:val="pct15" w:color="auto" w:fill="auto"/>
          </w:tcPr>
          <w:p w:rsidR="00054A63" w:rsidRDefault="00054A63" w:rsidP="005E4457"/>
        </w:tc>
        <w:tc>
          <w:tcPr>
            <w:tcW w:w="2268" w:type="dxa"/>
            <w:shd w:val="pct15" w:color="auto" w:fill="auto"/>
          </w:tcPr>
          <w:p w:rsidR="00054A63" w:rsidRDefault="00054A63" w:rsidP="005E4457">
            <w:pPr>
              <w:rPr>
                <w:b/>
                <w:bCs/>
              </w:rPr>
            </w:pPr>
            <w:r>
              <w:rPr>
                <w:b/>
                <w:bCs/>
              </w:rPr>
              <w:t>AST Yr 12 - 7 &amp; 8 Sep</w:t>
            </w:r>
          </w:p>
          <w:p w:rsidR="00054A63" w:rsidRDefault="00054A63" w:rsidP="005E4457">
            <w:pPr>
              <w:rPr>
                <w:b/>
                <w:bCs/>
              </w:rPr>
            </w:pPr>
            <w:r>
              <w:rPr>
                <w:b/>
                <w:bCs/>
              </w:rPr>
              <w:t>Assessment Week</w:t>
            </w:r>
          </w:p>
          <w:p w:rsidR="00054A63" w:rsidRDefault="00054A63" w:rsidP="005E4457">
            <w:pPr>
              <w:rPr>
                <w:b/>
                <w:bCs/>
              </w:rPr>
            </w:pPr>
            <w:r>
              <w:rPr>
                <w:b/>
                <w:bCs/>
              </w:rPr>
              <w:t>Work Exp Yr 11</w:t>
            </w:r>
          </w:p>
          <w:p w:rsidR="00054A63" w:rsidRDefault="00054A63" w:rsidP="005E4457">
            <w:pPr>
              <w:rPr>
                <w:b/>
                <w:bCs/>
              </w:rPr>
            </w:pPr>
            <w:r>
              <w:rPr>
                <w:b/>
                <w:bCs/>
              </w:rPr>
              <w:t>Feedback Day 10 Sep</w:t>
            </w:r>
          </w:p>
          <w:p w:rsidR="00054A63" w:rsidRDefault="00054A63" w:rsidP="005E4457"/>
        </w:tc>
      </w:tr>
    </w:tbl>
    <w:p w:rsidR="000760D8" w:rsidRDefault="000760D8" w:rsidP="009F6BA1">
      <w:pPr>
        <w:pStyle w:val="BodyText"/>
      </w:pPr>
    </w:p>
    <w:sectPr w:rsidR="000760D8" w:rsidSect="00670767">
      <w:pgSz w:w="11906" w:h="16838" w:code="9"/>
      <w:pgMar w:top="567" w:right="567" w:bottom="56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C32" w:rsidRDefault="00885C32">
      <w:r>
        <w:separator/>
      </w:r>
    </w:p>
  </w:endnote>
  <w:endnote w:type="continuationSeparator" w:id="0">
    <w:p w:rsidR="00885C32" w:rsidRDefault="00885C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C32" w:rsidRDefault="00885C32">
      <w:r>
        <w:separator/>
      </w:r>
    </w:p>
  </w:footnote>
  <w:footnote w:type="continuationSeparator" w:id="0">
    <w:p w:rsidR="00885C32" w:rsidRDefault="00885C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82433B8"/>
    <w:lvl w:ilvl="0">
      <w:start w:val="1"/>
      <w:numFmt w:val="bullet"/>
      <w:pStyle w:val="BulletNormal"/>
      <w:lvlText w:val=""/>
      <w:lvlJc w:val="left"/>
      <w:pPr>
        <w:tabs>
          <w:tab w:val="num" w:pos="643"/>
        </w:tabs>
        <w:ind w:left="643"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2274C3B"/>
    <w:multiLevelType w:val="hybridMultilevel"/>
    <w:tmpl w:val="6DAA6EE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E670D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09F40A81"/>
    <w:multiLevelType w:val="hybridMultilevel"/>
    <w:tmpl w:val="641CDC1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944F0E"/>
    <w:multiLevelType w:val="hybridMultilevel"/>
    <w:tmpl w:val="1EF4F17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536002B"/>
    <w:multiLevelType w:val="hybridMultilevel"/>
    <w:tmpl w:val="2FF6783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390915"/>
    <w:multiLevelType w:val="hybridMultilevel"/>
    <w:tmpl w:val="202A368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2B38A5"/>
    <w:multiLevelType w:val="hybridMultilevel"/>
    <w:tmpl w:val="ADA89FA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AA1C04"/>
    <w:multiLevelType w:val="hybridMultilevel"/>
    <w:tmpl w:val="EC6A4F0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7A2EFC"/>
    <w:multiLevelType w:val="hybridMultilevel"/>
    <w:tmpl w:val="7580234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3173AC"/>
    <w:multiLevelType w:val="hybridMultilevel"/>
    <w:tmpl w:val="9D8A372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C87141"/>
    <w:multiLevelType w:val="hybridMultilevel"/>
    <w:tmpl w:val="58401BC6"/>
    <w:lvl w:ilvl="0" w:tplc="FFFFFFFF">
      <w:start w:val="1"/>
      <w:numFmt w:val="bullet"/>
      <w:lvlText w:val=""/>
      <w:lvlJc w:val="left"/>
      <w:pPr>
        <w:tabs>
          <w:tab w:val="num" w:pos="720"/>
        </w:tabs>
        <w:ind w:left="720" w:hanging="360"/>
      </w:pPr>
      <w:rPr>
        <w:rFonts w:ascii="Symbol" w:hAnsi="Symbol" w:cs="Symbol"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nsid w:val="32B04FB5"/>
    <w:multiLevelType w:val="hybridMultilevel"/>
    <w:tmpl w:val="19FAD32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9F70F7"/>
    <w:multiLevelType w:val="hybridMultilevel"/>
    <w:tmpl w:val="FC946DE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A24C7C"/>
    <w:multiLevelType w:val="hybridMultilevel"/>
    <w:tmpl w:val="DDB04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FC4FA6"/>
    <w:multiLevelType w:val="hybridMultilevel"/>
    <w:tmpl w:val="B77CBA34"/>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17">
    <w:nsid w:val="403C0A11"/>
    <w:multiLevelType w:val="hybridMultilevel"/>
    <w:tmpl w:val="C4CC6AA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660339"/>
    <w:multiLevelType w:val="hybridMultilevel"/>
    <w:tmpl w:val="7CA2D67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B1E20"/>
    <w:multiLevelType w:val="hybridMultilevel"/>
    <w:tmpl w:val="E8A22BF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67E2A"/>
    <w:multiLevelType w:val="hybridMultilevel"/>
    <w:tmpl w:val="900C99B4"/>
    <w:lvl w:ilvl="0" w:tplc="04090009">
      <w:start w:val="1"/>
      <w:numFmt w:val="bullet"/>
      <w:pStyle w:val="Listbullettab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953E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51BB358D"/>
    <w:multiLevelType w:val="hybridMultilevel"/>
    <w:tmpl w:val="4E58FEE6"/>
    <w:lvl w:ilvl="0" w:tplc="FFFFFFFF">
      <w:start w:val="1"/>
      <w:numFmt w:val="bullet"/>
      <w:lvlText w:val=""/>
      <w:lvlJc w:val="left"/>
      <w:pPr>
        <w:tabs>
          <w:tab w:val="num" w:pos="720"/>
        </w:tabs>
        <w:ind w:left="720" w:hanging="360"/>
      </w:pPr>
      <w:rPr>
        <w:rFonts w:ascii="Symbol" w:hAnsi="Symbol" w:cs="Symbol"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nsid w:val="586978DA"/>
    <w:multiLevelType w:val="hybridMultilevel"/>
    <w:tmpl w:val="0652B2B8"/>
    <w:lvl w:ilvl="0" w:tplc="163EC5F2">
      <w:start w:val="1"/>
      <w:numFmt w:val="bullet"/>
      <w:lvlText w:val=""/>
      <w:lvlJc w:val="left"/>
      <w:pPr>
        <w:tabs>
          <w:tab w:val="num" w:pos="757"/>
        </w:tabs>
        <w:ind w:left="720" w:hanging="32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731076"/>
    <w:multiLevelType w:val="hybridMultilevel"/>
    <w:tmpl w:val="6B900F8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B42D09"/>
    <w:multiLevelType w:val="hybridMultilevel"/>
    <w:tmpl w:val="F67CB7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6D81C1B"/>
    <w:multiLevelType w:val="hybridMultilevel"/>
    <w:tmpl w:val="F44EDC7A"/>
    <w:lvl w:ilvl="0" w:tplc="FFFFFFFF">
      <w:start w:val="1"/>
      <w:numFmt w:val="bullet"/>
      <w:lvlText w:val=""/>
      <w:lvlJc w:val="left"/>
      <w:pPr>
        <w:tabs>
          <w:tab w:val="num" w:pos="720"/>
        </w:tabs>
        <w:ind w:left="720" w:hanging="360"/>
      </w:pPr>
      <w:rPr>
        <w:rFonts w:ascii="Symbol" w:hAnsi="Symbol" w:cs="Symbol" w:hint="default"/>
        <w:sz w:val="16"/>
        <w:szCs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7">
    <w:nsid w:val="770977A2"/>
    <w:multiLevelType w:val="hybridMultilevel"/>
    <w:tmpl w:val="9F7CCD7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911754"/>
    <w:multiLevelType w:val="hybridMultilevel"/>
    <w:tmpl w:val="5F9C738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785" w:hanging="360"/>
        </w:pPr>
        <w:rPr>
          <w:rFonts w:ascii="Wingdings" w:hAnsi="Wingdings" w:cs="Times New Roman" w:hint="default"/>
        </w:rPr>
      </w:lvl>
    </w:lvlOverride>
  </w:num>
  <w:num w:numId="2">
    <w:abstractNumId w:val="1"/>
    <w:lvlOverride w:ilvl="0">
      <w:lvl w:ilvl="0">
        <w:start w:val="1"/>
        <w:numFmt w:val="bullet"/>
        <w:lvlText w:val=""/>
        <w:legacy w:legacy="1" w:legacySpace="0" w:legacyIndent="0"/>
        <w:lvlJc w:val="left"/>
        <w:rPr>
          <w:rFonts w:ascii="Symbol" w:hAnsi="Symbol" w:cs="Times New Roman" w:hint="default"/>
        </w:rPr>
      </w:lvl>
    </w:lvlOverride>
  </w:num>
  <w:num w:numId="3">
    <w:abstractNumId w:val="22"/>
  </w:num>
  <w:num w:numId="4">
    <w:abstractNumId w:val="12"/>
  </w:num>
  <w:num w:numId="5">
    <w:abstractNumId w:val="26"/>
  </w:num>
  <w:num w:numId="6">
    <w:abstractNumId w:val="15"/>
  </w:num>
  <w:num w:numId="7">
    <w:abstractNumId w:val="11"/>
  </w:num>
  <w:num w:numId="8">
    <w:abstractNumId w:val="25"/>
  </w:num>
  <w:num w:numId="9">
    <w:abstractNumId w:val="3"/>
  </w:num>
  <w:num w:numId="10">
    <w:abstractNumId w:val="19"/>
  </w:num>
  <w:num w:numId="11">
    <w:abstractNumId w:val="4"/>
  </w:num>
  <w:num w:numId="12">
    <w:abstractNumId w:val="24"/>
  </w:num>
  <w:num w:numId="13">
    <w:abstractNumId w:val="6"/>
  </w:num>
  <w:num w:numId="14">
    <w:abstractNumId w:val="27"/>
  </w:num>
  <w:num w:numId="15">
    <w:abstractNumId w:val="28"/>
  </w:num>
  <w:num w:numId="16">
    <w:abstractNumId w:val="14"/>
  </w:num>
  <w:num w:numId="17">
    <w:abstractNumId w:val="18"/>
  </w:num>
  <w:num w:numId="18">
    <w:abstractNumId w:val="13"/>
  </w:num>
  <w:num w:numId="19">
    <w:abstractNumId w:val="7"/>
  </w:num>
  <w:num w:numId="20">
    <w:abstractNumId w:val="10"/>
  </w:num>
  <w:num w:numId="21">
    <w:abstractNumId w:val="8"/>
  </w:num>
  <w:num w:numId="22">
    <w:abstractNumId w:val="9"/>
  </w:num>
  <w:num w:numId="23">
    <w:abstractNumId w:val="2"/>
  </w:num>
  <w:num w:numId="24">
    <w:abstractNumId w:val="17"/>
  </w:num>
  <w:num w:numId="25">
    <w:abstractNumId w:val="5"/>
  </w:num>
  <w:num w:numId="26">
    <w:abstractNumId w:val="21"/>
  </w:num>
  <w:num w:numId="27">
    <w:abstractNumId w:val="23"/>
  </w:num>
  <w:num w:numId="28">
    <w:abstractNumId w:val="16"/>
  </w:num>
  <w:num w:numId="29">
    <w:abstractNumId w:val="20"/>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7C1D4C"/>
    <w:rsid w:val="00054A63"/>
    <w:rsid w:val="000760D8"/>
    <w:rsid w:val="001E6DD6"/>
    <w:rsid w:val="00207019"/>
    <w:rsid w:val="00255FAE"/>
    <w:rsid w:val="003C54BE"/>
    <w:rsid w:val="0042216D"/>
    <w:rsid w:val="004F78F5"/>
    <w:rsid w:val="005725C1"/>
    <w:rsid w:val="005856EA"/>
    <w:rsid w:val="005E1428"/>
    <w:rsid w:val="005E4457"/>
    <w:rsid w:val="00625677"/>
    <w:rsid w:val="00670767"/>
    <w:rsid w:val="00677801"/>
    <w:rsid w:val="006A3523"/>
    <w:rsid w:val="00703181"/>
    <w:rsid w:val="007C1D4C"/>
    <w:rsid w:val="00885C32"/>
    <w:rsid w:val="008873D5"/>
    <w:rsid w:val="008B7CFC"/>
    <w:rsid w:val="00961DFA"/>
    <w:rsid w:val="009C4A41"/>
    <w:rsid w:val="009F6BA1"/>
    <w:rsid w:val="00A4427A"/>
    <w:rsid w:val="00A57ABF"/>
    <w:rsid w:val="00A94DAB"/>
    <w:rsid w:val="00A955D7"/>
    <w:rsid w:val="00C7762F"/>
    <w:rsid w:val="00C81AC6"/>
    <w:rsid w:val="00DF53B9"/>
    <w:rsid w:val="00E24644"/>
    <w:rsid w:val="00E62452"/>
    <w:rsid w:val="00F27953"/>
    <w:rsid w:val="00F80861"/>
    <w:rsid w:val="00FD598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Arial" w:hAnsi="Arial" w:cs="Arial"/>
      <w:lang w:eastAsia="en-US"/>
    </w:rPr>
  </w:style>
  <w:style w:type="paragraph" w:styleId="Heading1">
    <w:name w:val="heading 1"/>
    <w:basedOn w:val="Normal"/>
    <w:next w:val="Normal"/>
    <w:qFormat/>
    <w:pPr>
      <w:keepNext/>
      <w:spacing w:before="240" w:after="60"/>
      <w:outlineLvl w:val="0"/>
    </w:pPr>
    <w:rPr>
      <w:b/>
      <w:bCs/>
      <w:kern w:val="28"/>
      <w:sz w:val="28"/>
      <w:szCs w:val="28"/>
    </w:rPr>
  </w:style>
  <w:style w:type="paragraph" w:styleId="Heading2">
    <w:name w:val="heading 2"/>
    <w:basedOn w:val="Normal"/>
    <w:next w:val="Normal"/>
    <w:qFormat/>
    <w:pPr>
      <w:keepNext/>
      <w:spacing w:before="240" w:after="60"/>
      <w:outlineLvl w:val="1"/>
    </w:pPr>
    <w:rPr>
      <w:b/>
      <w:bCs/>
      <w:i/>
      <w:iCs/>
      <w:sz w:val="24"/>
      <w:szCs w:val="24"/>
    </w:rPr>
  </w:style>
  <w:style w:type="paragraph" w:styleId="Heading3">
    <w:name w:val="heading 3"/>
    <w:aliases w:val="H3,Field Name"/>
    <w:basedOn w:val="Normal"/>
    <w:next w:val="Normal"/>
    <w:qFormat/>
    <w:pPr>
      <w:keepNext/>
      <w:spacing w:before="240" w:after="60"/>
      <w:outlineLvl w:val="2"/>
    </w:pPr>
    <w:rPr>
      <w:sz w:val="24"/>
      <w:szCs w:val="24"/>
    </w:rPr>
  </w:style>
  <w:style w:type="paragraph" w:styleId="Heading4">
    <w:name w:val="heading 4"/>
    <w:aliases w:val="H4"/>
    <w:basedOn w:val="Normal"/>
    <w:next w:val="Normal"/>
    <w:link w:val="Heading4Char"/>
    <w:qFormat/>
    <w:pPr>
      <w:keepNext/>
      <w:framePr w:w="4294" w:h="580" w:hSpace="180" w:wrap="auto" w:vAnchor="text" w:hAnchor="page" w:x="3601" w:y="306"/>
      <w:jc w:val="center"/>
      <w:outlineLvl w:val="3"/>
    </w:pPr>
    <w:rPr>
      <w:rFonts w:ascii="Brush Script MT" w:hAnsi="Brush Script MT" w:cs="Times New Roman"/>
      <w:b/>
      <w:bCs/>
      <w:sz w:val="32"/>
      <w:szCs w:val="32"/>
    </w:rPr>
  </w:style>
  <w:style w:type="paragraph" w:styleId="Heading5">
    <w:name w:val="heading 5"/>
    <w:basedOn w:val="Normal"/>
    <w:next w:val="Normal"/>
    <w:qFormat/>
    <w:pPr>
      <w:keepNext/>
      <w:outlineLvl w:val="4"/>
    </w:pPr>
    <w:rPr>
      <w:rFonts w:ascii="Times New Roman" w:hAnsi="Times New Roman" w:cs="Times New Roman"/>
      <w:b/>
      <w:bCs/>
      <w:sz w:val="24"/>
    </w:rPr>
  </w:style>
  <w:style w:type="paragraph" w:styleId="Heading6">
    <w:name w:val="heading 6"/>
    <w:basedOn w:val="Normal"/>
    <w:next w:val="Normal"/>
    <w:qFormat/>
    <w:pPr>
      <w:keepNext/>
      <w:autoSpaceDE/>
      <w:autoSpaceDN/>
      <w:outlineLvl w:val="5"/>
    </w:pPr>
    <w:rPr>
      <w:rFonts w:cs="Times New Roman"/>
      <w:b/>
    </w:rPr>
  </w:style>
  <w:style w:type="paragraph" w:styleId="Heading7">
    <w:name w:val="heading 7"/>
    <w:basedOn w:val="Normal"/>
    <w:next w:val="Normal"/>
    <w:qFormat/>
    <w:pPr>
      <w:keepNext/>
      <w:autoSpaceDE/>
      <w:autoSpaceDN/>
      <w:jc w:val="center"/>
      <w:outlineLvl w:val="6"/>
    </w:pPr>
    <w:rPr>
      <w:rFonts w:ascii="Times New Roman" w:hAnsi="Times New Roman" w:cs="Times New Roman"/>
      <w:b/>
      <w:sz w:val="24"/>
    </w:rPr>
  </w:style>
  <w:style w:type="paragraph" w:styleId="Heading8">
    <w:name w:val="heading 8"/>
    <w:basedOn w:val="Normal"/>
    <w:next w:val="Normal"/>
    <w:qFormat/>
    <w:pPr>
      <w:keepNext/>
      <w:jc w:val="center"/>
      <w:outlineLvl w:val="7"/>
    </w:pPr>
    <w:rPr>
      <w:b/>
    </w:rPr>
  </w:style>
  <w:style w:type="paragraph" w:styleId="Heading9">
    <w:name w:val="heading 9"/>
    <w:basedOn w:val="Normal"/>
    <w:next w:val="Normal"/>
    <w:qFormat/>
    <w:pPr>
      <w:keepNext/>
      <w:autoSpaceDE/>
      <w:autoSpaceDN/>
      <w:spacing w:line="360" w:lineRule="auto"/>
      <w:jc w:val="center"/>
      <w:outlineLvl w:val="8"/>
    </w:pPr>
    <w:rPr>
      <w:rFonts w:ascii="Times New Roman" w:hAnsi="Times New Roman" w:cs="Times New Roman"/>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0block">
    <w:name w:val="0 block"/>
    <w:aliases w:val="0"/>
    <w:basedOn w:val="Normal"/>
    <w:pPr>
      <w:spacing w:before="120"/>
      <w:jc w:val="both"/>
    </w:pPr>
    <w:rPr>
      <w:sz w:val="24"/>
      <w:szCs w:val="24"/>
    </w:rPr>
  </w:style>
  <w:style w:type="paragraph" w:customStyle="1" w:styleId="34">
    <w:name w:val="3/4"/>
    <w:basedOn w:val="Normal"/>
    <w:pPr>
      <w:spacing w:before="120"/>
      <w:ind w:left="2268" w:hanging="560"/>
      <w:jc w:val="both"/>
    </w:pPr>
    <w:rPr>
      <w:sz w:val="24"/>
      <w:szCs w:val="24"/>
    </w:rPr>
  </w:style>
  <w:style w:type="paragraph" w:customStyle="1" w:styleId="23b">
    <w:name w:val="2/3b"/>
    <w:aliases w:val="2b"/>
    <w:basedOn w:val="Normal"/>
    <w:pPr>
      <w:spacing w:before="240"/>
      <w:ind w:left="1700" w:hanging="580"/>
      <w:jc w:val="both"/>
    </w:pPr>
    <w:rPr>
      <w:b/>
      <w:bCs/>
      <w:sz w:val="24"/>
      <w:szCs w:val="24"/>
    </w:rPr>
  </w:style>
  <w:style w:type="paragraph" w:customStyle="1" w:styleId="4dot">
    <w:name w:val="4dot"/>
    <w:basedOn w:val="Normal"/>
    <w:pPr>
      <w:ind w:left="2560" w:right="28" w:hanging="311"/>
      <w:jc w:val="both"/>
    </w:pPr>
    <w:rPr>
      <w:sz w:val="24"/>
      <w:szCs w:val="24"/>
    </w:rPr>
  </w:style>
  <w:style w:type="paragraph" w:customStyle="1" w:styleId="3block">
    <w:name w:val="3 block"/>
    <w:aliases w:val="3"/>
    <w:basedOn w:val="Normal"/>
    <w:pPr>
      <w:spacing w:before="120"/>
      <w:ind w:left="1701" w:right="-23"/>
      <w:jc w:val="both"/>
    </w:pPr>
    <w:rPr>
      <w:sz w:val="24"/>
      <w:szCs w:val="24"/>
    </w:rPr>
  </w:style>
  <w:style w:type="paragraph" w:customStyle="1" w:styleId="3dot">
    <w:name w:val="3dot"/>
    <w:aliases w:val="3d,dot 3"/>
    <w:basedOn w:val="Normal"/>
    <w:pPr>
      <w:ind w:left="2012" w:right="28" w:hanging="311"/>
      <w:jc w:val="both"/>
    </w:pPr>
    <w:rPr>
      <w:sz w:val="24"/>
      <w:szCs w:val="24"/>
    </w:rPr>
  </w:style>
  <w:style w:type="paragraph" w:customStyle="1" w:styleId="5dot">
    <w:name w:val="5dot"/>
    <w:basedOn w:val="Normal"/>
    <w:pPr>
      <w:ind w:left="3119" w:hanging="284"/>
      <w:jc w:val="both"/>
    </w:pPr>
    <w:rPr>
      <w:sz w:val="24"/>
      <w:szCs w:val="24"/>
    </w:rPr>
  </w:style>
  <w:style w:type="paragraph" w:customStyle="1" w:styleId="2block">
    <w:name w:val="2 block"/>
    <w:basedOn w:val="Normal"/>
    <w:pPr>
      <w:spacing w:before="120"/>
      <w:ind w:left="1134"/>
      <w:jc w:val="both"/>
    </w:pPr>
    <w:rPr>
      <w:sz w:val="24"/>
      <w:szCs w:val="24"/>
    </w:rPr>
  </w:style>
  <w:style w:type="paragraph" w:customStyle="1" w:styleId="2dot">
    <w:name w:val="2dot"/>
    <w:basedOn w:val="Normal"/>
    <w:pPr>
      <w:spacing w:before="120"/>
      <w:ind w:left="1446" w:right="28" w:hanging="312"/>
      <w:jc w:val="both"/>
    </w:pPr>
    <w:rPr>
      <w:sz w:val="24"/>
      <w:szCs w:val="24"/>
    </w:rPr>
  </w:style>
  <w:style w:type="paragraph" w:customStyle="1" w:styleId="1boldhead">
    <w:name w:val="1 bold head"/>
    <w:aliases w:val="b1,1 bold"/>
    <w:basedOn w:val="Normal"/>
    <w:pPr>
      <w:spacing w:before="120"/>
      <w:ind w:left="567"/>
      <w:jc w:val="both"/>
    </w:pPr>
    <w:rPr>
      <w:b/>
      <w:bCs/>
      <w:sz w:val="24"/>
      <w:szCs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paragraph" w:customStyle="1" w:styleId="reportstrand">
    <w:name w:val="reportstrand"/>
    <w:basedOn w:val="Normal"/>
    <w:pPr>
      <w:spacing w:line="240" w:lineRule="exact"/>
      <w:ind w:left="1440" w:hanging="720"/>
    </w:pPr>
    <w:rPr>
      <w:color w:val="000000"/>
      <w:sz w:val="24"/>
      <w:szCs w:val="24"/>
      <w:lang w:val="en-US"/>
    </w:rPr>
  </w:style>
  <w:style w:type="paragraph" w:styleId="Caption">
    <w:name w:val="caption"/>
    <w:basedOn w:val="Normal"/>
    <w:next w:val="Normal"/>
    <w:qFormat/>
    <w:pPr>
      <w:autoSpaceDE/>
      <w:autoSpaceDN/>
    </w:pPr>
    <w:rPr>
      <w:rFonts w:cs="Times New Roman"/>
      <w:b/>
    </w:rPr>
  </w:style>
  <w:style w:type="paragraph" w:styleId="BodyText">
    <w:name w:val="Body Text"/>
    <w:basedOn w:val="Normal"/>
    <w:link w:val="BodyTextChar"/>
    <w:rPr>
      <w:rFonts w:ascii="Times New Roman" w:eastAsia="SimSun" w:hAnsi="Times New Roman" w:cs="Times New Roman"/>
      <w:sz w:val="24"/>
      <w:szCs w:val="24"/>
      <w:lang w:eastAsia="zh-CN"/>
    </w:rPr>
  </w:style>
  <w:style w:type="paragraph" w:customStyle="1" w:styleId="Kimsheading">
    <w:name w:val="Kims heading"/>
    <w:basedOn w:val="Normal"/>
    <w:pPr>
      <w:shd w:val="pct25" w:color="auto" w:fill="FFFFFF"/>
    </w:pPr>
    <w:rPr>
      <w:rFonts w:ascii="Times" w:eastAsia="SimSun" w:hAnsi="Times" w:cs="Times"/>
      <w:b/>
      <w:bCs/>
      <w:caps/>
      <w:sz w:val="24"/>
      <w:szCs w:val="24"/>
      <w:lang w:eastAsia="zh-CN"/>
    </w:rPr>
  </w:style>
  <w:style w:type="paragraph" w:styleId="BodyTextIndent2">
    <w:name w:val="Body Text Indent 2"/>
    <w:basedOn w:val="Normal"/>
    <w:pPr>
      <w:autoSpaceDE/>
      <w:autoSpaceDN/>
      <w:spacing w:line="240" w:lineRule="exact"/>
      <w:ind w:left="601"/>
    </w:pPr>
    <w:rPr>
      <w:rFonts w:ascii="Univers" w:hAnsi="Univers" w:cs="Times New Roman"/>
      <w:b/>
    </w:rPr>
  </w:style>
  <w:style w:type="paragraph" w:styleId="BodyText2">
    <w:name w:val="Body Text 2"/>
    <w:basedOn w:val="Normal"/>
    <w:pPr>
      <w:pBdr>
        <w:top w:val="single" w:sz="4" w:space="1" w:color="auto"/>
        <w:left w:val="single" w:sz="4" w:space="4" w:color="auto"/>
        <w:bottom w:val="single" w:sz="4" w:space="1" w:color="auto"/>
        <w:right w:val="single" w:sz="4" w:space="4" w:color="auto"/>
      </w:pBdr>
      <w:autoSpaceDE/>
      <w:autoSpaceDN/>
      <w:ind w:right="29"/>
    </w:pPr>
    <w:rPr>
      <w:rFonts w:ascii="Comic Sans MS" w:hAnsi="Comic Sans MS" w:cs="Times New Roman"/>
      <w:b/>
      <w:sz w:val="24"/>
    </w:rPr>
  </w:style>
  <w:style w:type="paragraph" w:styleId="BodyText3">
    <w:name w:val="Body Text 3"/>
    <w:basedOn w:val="Normal"/>
    <w:pPr>
      <w:jc w:val="center"/>
    </w:pPr>
    <w:rPr>
      <w:b/>
      <w:bCs/>
    </w:rPr>
  </w:style>
  <w:style w:type="paragraph" w:styleId="BodyTextIndent">
    <w:name w:val="Body Text Indent"/>
    <w:basedOn w:val="Normal"/>
    <w:pPr>
      <w:tabs>
        <w:tab w:val="left" w:pos="786"/>
      </w:tabs>
      <w:autoSpaceDE/>
      <w:autoSpaceDN/>
      <w:ind w:left="426"/>
    </w:pPr>
    <w:rPr>
      <w:rFonts w:cs="Times New Roman"/>
      <w:bCs/>
    </w:rPr>
  </w:style>
  <w:style w:type="paragraph" w:styleId="DocumentMap">
    <w:name w:val="Document Map"/>
    <w:basedOn w:val="Normal"/>
    <w:semiHidden/>
    <w:pPr>
      <w:shd w:val="clear" w:color="auto" w:fill="000080"/>
      <w:autoSpaceDE/>
      <w:autoSpaceDN/>
    </w:pPr>
    <w:rPr>
      <w:rFonts w:ascii="Tahoma" w:hAnsi="Tahoma" w:cs="Times New Roman"/>
    </w:rPr>
  </w:style>
  <w:style w:type="paragraph" w:styleId="BodyTextIndent3">
    <w:name w:val="Body Text Indent 3"/>
    <w:basedOn w:val="Normal"/>
    <w:pPr>
      <w:tabs>
        <w:tab w:val="left" w:pos="786"/>
      </w:tabs>
      <w:adjustRightInd w:val="0"/>
      <w:ind w:left="709"/>
      <w:jc w:val="both"/>
    </w:pPr>
    <w:rPr>
      <w:lang w:val="en-US"/>
    </w:rPr>
  </w:style>
  <w:style w:type="character" w:styleId="Hyperlink">
    <w:name w:val="Hyperlink"/>
    <w:basedOn w:val="DefaultParagraphFont"/>
    <w:rsid w:val="001E6DD6"/>
    <w:rPr>
      <w:color w:val="0000FF"/>
      <w:u w:val="single"/>
    </w:rPr>
  </w:style>
  <w:style w:type="character" w:customStyle="1" w:styleId="HeaderChar">
    <w:name w:val="Header Char"/>
    <w:basedOn w:val="DefaultParagraphFont"/>
    <w:link w:val="Header"/>
    <w:semiHidden/>
    <w:locked/>
    <w:rsid w:val="00961DFA"/>
    <w:rPr>
      <w:rFonts w:ascii="Arial" w:hAnsi="Arial" w:cs="Arial"/>
      <w:lang w:val="en-AU" w:eastAsia="en-US" w:bidi="ar-SA"/>
    </w:rPr>
  </w:style>
  <w:style w:type="character" w:customStyle="1" w:styleId="FooterChar">
    <w:name w:val="Footer Char"/>
    <w:basedOn w:val="DefaultParagraphFont"/>
    <w:link w:val="Footer"/>
    <w:semiHidden/>
    <w:locked/>
    <w:rsid w:val="00961DFA"/>
    <w:rPr>
      <w:rFonts w:ascii="Arial" w:hAnsi="Arial" w:cs="Arial"/>
      <w:lang w:val="en-AU" w:eastAsia="en-US" w:bidi="ar-SA"/>
    </w:rPr>
  </w:style>
  <w:style w:type="character" w:customStyle="1" w:styleId="BodyTextChar">
    <w:name w:val="Body Text Char"/>
    <w:basedOn w:val="DefaultParagraphFont"/>
    <w:link w:val="BodyText"/>
    <w:semiHidden/>
    <w:locked/>
    <w:rsid w:val="00961DFA"/>
    <w:rPr>
      <w:rFonts w:eastAsia="SimSun"/>
      <w:sz w:val="24"/>
      <w:szCs w:val="24"/>
      <w:lang w:val="en-AU" w:eastAsia="zh-CN" w:bidi="ar-SA"/>
    </w:rPr>
  </w:style>
  <w:style w:type="paragraph" w:styleId="TOC2">
    <w:name w:val="toc 2"/>
    <w:basedOn w:val="Normal"/>
    <w:next w:val="Normal"/>
    <w:autoRedefine/>
    <w:semiHidden/>
    <w:rsid w:val="00961DFA"/>
    <w:pPr>
      <w:tabs>
        <w:tab w:val="right" w:leader="dot" w:pos="9072"/>
      </w:tabs>
      <w:autoSpaceDE/>
      <w:autoSpaceDN/>
    </w:pPr>
    <w:rPr>
      <w:rFonts w:cs="Times New Roman"/>
      <w:noProof/>
      <w:sz w:val="24"/>
      <w:szCs w:val="24"/>
    </w:rPr>
  </w:style>
  <w:style w:type="paragraph" w:customStyle="1" w:styleId="Listbullettable">
    <w:name w:val="List bullet table"/>
    <w:basedOn w:val="Footer"/>
    <w:rsid w:val="00961DFA"/>
    <w:pPr>
      <w:numPr>
        <w:numId w:val="29"/>
      </w:numPr>
      <w:tabs>
        <w:tab w:val="clear" w:pos="4153"/>
        <w:tab w:val="clear" w:pos="8306"/>
      </w:tabs>
      <w:autoSpaceDE/>
      <w:autoSpaceDN/>
      <w:spacing w:before="20" w:after="20"/>
    </w:pPr>
    <w:rPr>
      <w:rFonts w:ascii="Times New (W1)" w:hAnsi="Times New (W1)" w:cs="Times New (W1)"/>
      <w:sz w:val="24"/>
      <w:szCs w:val="24"/>
    </w:rPr>
  </w:style>
  <w:style w:type="paragraph" w:customStyle="1" w:styleId="BulletNormal">
    <w:name w:val="Bullet Normal"/>
    <w:basedOn w:val="Normal"/>
    <w:rsid w:val="00961DFA"/>
    <w:pPr>
      <w:numPr>
        <w:numId w:val="30"/>
      </w:numPr>
      <w:tabs>
        <w:tab w:val="num" w:pos="1440"/>
      </w:tabs>
      <w:autoSpaceDE/>
      <w:autoSpaceDN/>
      <w:spacing w:before="120"/>
      <w:ind w:left="1440"/>
      <w:jc w:val="both"/>
    </w:pPr>
    <w:rPr>
      <w:rFonts w:cs="Times New Roman"/>
      <w:sz w:val="24"/>
      <w:szCs w:val="24"/>
    </w:rPr>
  </w:style>
  <w:style w:type="paragraph" w:customStyle="1" w:styleId="PMLQFUoC">
    <w:name w:val="PML QF UoC"/>
    <w:basedOn w:val="Normal"/>
    <w:rsid w:val="00961DFA"/>
    <w:pPr>
      <w:autoSpaceDE/>
      <w:autoSpaceDN/>
      <w:spacing w:before="60" w:after="60"/>
    </w:pPr>
    <w:rPr>
      <w:rFonts w:cs="Times New Roman"/>
    </w:rPr>
  </w:style>
  <w:style w:type="character" w:customStyle="1" w:styleId="Heading4Char">
    <w:name w:val="Heading 4 Char"/>
    <w:aliases w:val="H4 Char"/>
    <w:basedOn w:val="DefaultParagraphFont"/>
    <w:link w:val="Heading4"/>
    <w:semiHidden/>
    <w:locked/>
    <w:rsid w:val="00670767"/>
    <w:rPr>
      <w:rFonts w:ascii="Brush Script MT" w:hAnsi="Brush Script MT"/>
      <w:b/>
      <w:bCs/>
      <w:sz w:val="32"/>
      <w:szCs w:val="32"/>
      <w:lang w:val="en-AU" w:eastAsia="en-US" w:bidi="ar-SA"/>
    </w:rPr>
  </w:style>
</w:styles>
</file>

<file path=word/webSettings.xml><?xml version="1.0" encoding="utf-8"?>
<w:webSettings xmlns:r="http://schemas.openxmlformats.org/officeDocument/2006/relationships" xmlns:w="http://schemas.openxmlformats.org/wordprocessingml/2006/main">
  <w:divs>
    <w:div w:id="10185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1705</Words>
  <Characters>9723</Characters>
  <Application>Microsoft Office Word</Application>
  <DocSecurity>2</DocSecurity>
  <Lines>81</Lines>
  <Paragraphs>22</Paragraphs>
  <ScaleCrop>false</ScaleCrop>
  <HeadingPairs>
    <vt:vector size="2" baseType="variant">
      <vt:variant>
        <vt:lpstr>Title</vt:lpstr>
      </vt:variant>
      <vt:variant>
        <vt:i4>1</vt:i4>
      </vt:variant>
    </vt:vector>
  </HeadingPairs>
  <TitlesOfParts>
    <vt:vector size="1" baseType="lpstr">
      <vt:lpstr>Narrabundah College</vt:lpstr>
    </vt:vector>
  </TitlesOfParts>
  <Company>ACT Department of Education and Training</Company>
  <LinksUpToDate>false</LinksUpToDate>
  <CharactersWithSpaces>11406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Narrabundah College</dc:title>
  <dc:creator>Word Development</dc:creator>
  <cp:lastModifiedBy>ACTSTU</cp:lastModifiedBy>
  <cp:revision>2</cp:revision>
  <cp:lastPrinted>2010-04-20T05:53:00Z</cp:lastPrinted>
  <dcterms:created xsi:type="dcterms:W3CDTF">2013-09-20T00:28:00Z</dcterms:created>
  <dcterms:modified xsi:type="dcterms:W3CDTF">2013-09-20T00:28:00Z</dcterms:modified>
</cp:coreProperties>
</file>