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Cursor</w:t>
      </w:r>
      <w:r>
        <w:t xml:space="preserve"> </w:t>
      </w:r>
      <w:r>
        <w:t xml:space="preserve">Case</w:t>
      </w:r>
      <w:r>
        <w:t xml:space="preserve"> </w:t>
      </w:r>
      <w:r>
        <w:t xml:space="preserve">Study:</w:t>
      </w:r>
      <w:r>
        <w:t xml:space="preserve"> </w:t>
      </w:r>
      <w:r>
        <w:t xml:space="preserve">Michael’s</w:t>
      </w:r>
      <w:r>
        <w:t xml:space="preserve"> </w:t>
      </w:r>
      <w:r>
        <w:t xml:space="preserve">Section</w:t>
      </w:r>
      <w:r>
        <w:t xml:space="preserve"> </w:t>
      </w:r>
      <w:r>
        <w:t xml:space="preserve">(Policy</w:t>
      </w:r>
      <w:r>
        <w:t xml:space="preserve"> </w:t>
      </w:r>
      <w:r>
        <w:t xml:space="preserve">+</w:t>
      </w:r>
      <w:r>
        <w:t xml:space="preserve"> </w:t>
      </w:r>
      <w:r>
        <w:t xml:space="preserve">Interfaces)</w:t>
      </w:r>
    </w:p>
    <w:p>
      <w:pPr>
        <w:pStyle w:val="FirstParagraph"/>
      </w:pPr>
      <w:r>
        <w:t xml:space="preserve">Oct 20, 2026 · Michael</w:t>
      </w:r>
    </w:p>
    <w:p>
      <w:pPr>
        <w:pStyle w:val="BodyText"/>
      </w:pPr>
      <w:r>
        <w:t xml:space="preserve">Draft of my part of the Fair A case study (L16, L17 lens), due to the team Oct 25, 2026. Section text is sized for about one page of the merged four-page write-up.</w:t>
      </w:r>
    </w:p>
    <w:bookmarkStart w:id="20" w:name="Xf825afaaaab0a0e58b0b8b48fdedbaabf010e5c"/>
    <w:p>
      <w:pPr>
        <w:pStyle w:val="Heading2"/>
      </w:pPr>
      <w:r>
        <w:t xml:space="preserve">Policy: latent in the model, but trained and fenced by Cursor</w:t>
      </w:r>
    </w:p>
    <w:p>
      <w:pPr>
        <w:pStyle w:val="FirstParagraph"/>
      </w:pPr>
      <w:r>
        <w:t xml:space="preserve">In L3’s decomposition the policy maps a belief state to a dialogue act (ask, confirm, act), learned against a reward that makes the ask-vs-act trade explicit. In Cursor the dialogue act is a tool call: read a file, grep, run semantic search, edit, run a terminal command, ask the user, or stop and answer. That choice is made token by token inside whichever model is running, so the policy is latent. Cursor does not leave it alone, though; it shapes it at three levels.</w:t>
      </w:r>
    </w:p>
    <w:p>
      <w:pPr>
        <w:pStyle w:val="BodyText"/>
      </w:pPr>
      <w:r>
        <w:rPr>
          <w:bCs/>
          <w:b/>
        </w:rPr>
        <w:t xml:space="preserve">1. Learned inside Cursor’s own harness (Composer).</w:t>
      </w:r>
      <w:r>
        <w:t xml:space="preserve"> </w:t>
      </w:r>
      <w:r>
        <w:t xml:space="preserve">Composer is a mixture-of-experts model trained with RL on the same tools the product exposes (file read and edit, terminal, semantic search, grep), across</w:t>
      </w:r>
      <w:r>
        <w:t xml:space="preserve"> </w:t>
      </w:r>
      <w:r>
        <w:t xml:space="preserve">“</w:t>
      </w:r>
      <w:r>
        <w:t xml:space="preserve">hundreds of thousands of concurrent sandboxed coding environments</w:t>
      </w:r>
      <w:r>
        <w:t xml:space="preserve">”</w:t>
      </w:r>
      <w:r>
        <w:t xml:space="preserve"> </w:t>
      </w:r>
      <w:r>
        <w:t xml:space="preserve">built on Cursor’s Background Agents infrastructure [5]. The training pushes it to</w:t>
      </w:r>
      <w:r>
        <w:t xml:space="preserve"> </w:t>
      </w:r>
      <w:r>
        <w:t xml:space="preserve">“</w:t>
      </w:r>
      <w:r>
        <w:t xml:space="preserve">make efficient choices in tool use and to maximize parallelism,</w:t>
      </w:r>
      <w:r>
        <w:t xml:space="preserve">”</w:t>
      </w:r>
      <w:r>
        <w:t xml:space="preserve"> </w:t>
      </w:r>
      <w:r>
        <w:t xml:space="preserve">and to minimize</w:t>
      </w:r>
      <w:r>
        <w:t xml:space="preserve"> </w:t>
      </w:r>
      <w:r>
        <w:t xml:space="preserve">“</w:t>
      </w:r>
      <w:r>
        <w:t xml:space="preserve">unnecessary responses and claims made without evidence</w:t>
      </w:r>
      <w:r>
        <w:t xml:space="preserve">”</w:t>
      </w:r>
      <w:r>
        <w:t xml:space="preserve"> </w:t>
      </w:r>
      <w:r>
        <w:t xml:space="preserve">[5]. Searching, fixing lint errors and writing and running unit tests emerged during RL rather than from prompting [5]. Cursor does not publish the reward function.</w:t>
      </w:r>
    </w:p>
    <w:p>
      <w:pPr>
        <w:pStyle w:val="BodyText"/>
      </w:pPr>
      <w:r>
        <w:t xml:space="preserve">Composer 2 (Mar 2026) goes further: it trains the summarization step. When context hits a trigger (40k or 80k tokens in Cursor’s experiments), the model writes its own summary, and the final task reward is applied to every token in the chain, so summaries that drop critical state get downweighted. This cut compaction error by 50% against a tuned prompt baseline, at one fifth the tokens [S10]. For our map this matters: the belief-state update (L14) has been folded into the policy’s action space and is optimized by the same reward.</w:t>
      </w:r>
    </w:p>
    <w:p>
      <w:pPr>
        <w:pStyle w:val="BodyText"/>
      </w:pPr>
      <w:r>
        <w:rPr>
          <w:bCs/>
          <w:b/>
        </w:rPr>
        <w:t xml:space="preserve">2. An explicit, hand-written reward (Tab).</w:t>
      </w:r>
      <w:r>
        <w:t xml:space="preserve"> </w:t>
      </w:r>
      <w:r>
        <w:t xml:space="preserve">Tab’s action space is two actions: show a suggestion or stay silent. The reward is written down: +0.75 accepted, −0.25 rejected, 0 for silence, so suggesting only pays when P(accept) &gt; 0.25 [4]. That is L3’s r(s,a) almost verbatim, with abstention as the</w:t>
      </w:r>
      <w:r>
        <w:t xml:space="preserve"> </w:t>
      </w:r>
      <w:r>
        <w:t xml:space="preserve">“</w:t>
      </w:r>
      <w:r>
        <w:t xml:space="preserve">don’t act</w:t>
      </w:r>
      <w:r>
        <w:t xml:space="preserve">”</w:t>
      </w:r>
      <w:r>
        <w:t xml:space="preserve"> </w:t>
      </w:r>
      <w:r>
        <w:t xml:space="preserve">move. Cursor trains it with on-policy policy gradients on 400M+ requests per day, shipping a new checkpoint every 1.5 to 2 hours; the result was 21% fewer suggestions and a 28% higher accept rate [4]. Cursor chose to put the abstain decision inside the model instead of adding a separate filter model [4].</w:t>
      </w:r>
    </w:p>
    <w:p>
      <w:pPr>
        <w:pStyle w:val="BodyText"/>
      </w:pPr>
      <w:r>
        <w:rPr>
          <w:bCs/>
          <w:b/>
        </w:rPr>
        <w:t xml:space="preserve">3. Explicit product controls over the latent policy.</w:t>
      </w:r>
    </w:p>
    <w:p>
      <w:pPr>
        <w:numPr>
          <w:ilvl w:val="0"/>
          <w:numId w:val="1001"/>
        </w:numPr>
        <w:pStyle w:val="Compact"/>
      </w:pPr>
      <w:r>
        <w:rPr>
          <w:bCs/>
          <w:b/>
        </w:rPr>
        <w:t xml:space="preserve">Plan mode</w:t>
      </w:r>
      <w:r>
        <w:t xml:space="preserve"> </w:t>
      </w:r>
      <w:r>
        <w:t xml:space="preserve">(Oct 2025): the agent researches the repo, asks clarifying questions, then writes an editable Markdown plan with to-dos before touching code [S11]. In L3 terms it is a user-selectable</w:t>
      </w:r>
      <w:r>
        <w:t xml:space="preserve"> </w:t>
      </w:r>
      <w:r>
        <w:t xml:space="preserve">“</w:t>
      </w:r>
      <w:r>
        <w:t xml:space="preserve">confirm before act</w:t>
      </w:r>
      <w:r>
        <w:t xml:space="preserve">”</w:t>
      </w:r>
      <w:r>
        <w:t xml:space="preserve"> </w:t>
      </w:r>
      <w:r>
        <w:t xml:space="preserve">policy, and the plan file is a belief state the user can inspect and edit. Cursor says most new features at Cursor now start this way, but publishes no numbers [S11].</w:t>
      </w:r>
    </w:p>
    <w:p>
      <w:pPr>
        <w:numPr>
          <w:ilvl w:val="0"/>
          <w:numId w:val="1001"/>
        </w:numPr>
        <w:pStyle w:val="Compact"/>
      </w:pPr>
      <w:r>
        <w:rPr>
          <w:bCs/>
          <w:b/>
        </w:rPr>
        <w:t xml:space="preserve">Cursor Router</w:t>
      </w:r>
      <w:r>
        <w:t xml:space="preserve"> </w:t>
      </w:r>
      <w:r>
        <w:t xml:space="preserve">(Jul 22, 2026, the relaunched Auto): a classifier that runs before any model is called and picks which model’s policy handles each request, by task type and complexity [S12]. It was trained on 600k+ live requests with user satisfaction as the reward, and offers Cost, Balance and Intelligence modes. Cursor reports frontier-quality results at about 60% savings in online A/B tests [S12]. This is a meta-policy: an explicit, learned layer choosing among latent ones.</w:t>
      </w:r>
    </w:p>
    <w:p>
      <w:pPr>
        <w:numPr>
          <w:ilvl w:val="0"/>
          <w:numId w:val="1001"/>
        </w:numPr>
        <w:pStyle w:val="Compact"/>
      </w:pPr>
      <w:r>
        <w:rPr>
          <w:bCs/>
          <w:b/>
        </w:rPr>
        <w:t xml:space="preserve">Guardrails that were removed.</w:t>
      </w:r>
      <w:r>
        <w:t xml:space="preserve"> </w:t>
      </w:r>
      <w:r>
        <w:t xml:space="preserve">Early harness versions capped tool calls per turn and forced lint and type errors back after every edit; most of these are gone as models improved [3]. Explicit policy acted as scaffolding that the latent policy grew into.</w:t>
      </w:r>
    </w:p>
    <w:bookmarkEnd w:id="20"/>
    <w:bookmarkStart w:id="21" w:name="X668dbab7fa629f3f53051426de0479af64c407d"/>
    <w:p>
      <w:pPr>
        <w:pStyle w:val="Heading2"/>
      </w:pPr>
      <w:r>
        <w:t xml:space="preserve">Interfaces: explicit, but written per vendor</w:t>
      </w:r>
    </w:p>
    <w:p>
      <w:pPr>
        <w:pStyle w:val="FirstParagraph"/>
      </w:pPr>
      <w:r>
        <w:t xml:space="preserve">The interface where policy becomes action (how a chosen edit actually changes the repo) is explicit, and Cursor builds it separately for each vendor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What Cursor does</w:t>
            </w:r>
          </w:p>
        </w:tc>
        <w:tc>
          <w:tcPr/>
          <w:p>
            <w:pPr>
              <w:pStyle w:val="Compact"/>
              <w:jc w:val="left"/>
            </w:pPr>
            <w:r>
              <w:t xml:space="preserve">Why</w:t>
            </w:r>
          </w:p>
        </w:tc>
      </w:tr>
      <w:tr>
        <w:tc>
          <w:tcPr/>
          <w:p>
            <w:pPr>
              <w:pStyle w:val="Compact"/>
              <w:jc w:val="left"/>
            </w:pPr>
            <w:r>
              <w:t xml:space="preserve">Edit format</w:t>
            </w:r>
          </w:p>
        </w:tc>
        <w:tc>
          <w:tcPr/>
          <w:p>
            <w:pPr>
              <w:pStyle w:val="Compact"/>
              <w:jc w:val="left"/>
            </w:pPr>
            <w:r>
              <w:t xml:space="preserve">OpenAI models get a patch-based format; Anthropic models get string replacement</w:t>
            </w:r>
          </w:p>
        </w:tc>
        <w:tc>
          <w:tcPr/>
          <w:p>
            <w:pPr>
              <w:pStyle w:val="Compact"/>
              <w:jc w:val="left"/>
            </w:pPr>
            <w:r>
              <w:t xml:space="preserve">Each model was trained on its own format; the unfamiliar one</w:t>
            </w:r>
            <w:r>
              <w:t xml:space="preserve"> </w:t>
            </w:r>
            <w:r>
              <w:t xml:space="preserve">“</w:t>
            </w:r>
            <w:r>
              <w:t xml:space="preserve">costs extra reasoning tokens and produces more mistakes</w:t>
            </w:r>
            <w:r>
              <w:t xml:space="preserve">”</w:t>
            </w:r>
          </w:p>
        </w:tc>
      </w:tr>
      <w:tr>
        <w:tc>
          <w:tcPr/>
          <w:p>
            <w:pPr>
              <w:pStyle w:val="Compact"/>
              <w:jc w:val="left"/>
            </w:pPr>
            <w:r>
              <w:t xml:space="preserve">Prompting</w:t>
            </w:r>
          </w:p>
        </w:tc>
        <w:tc>
          <w:tcPr/>
          <w:p>
            <w:pPr>
              <w:pStyle w:val="Compact"/>
              <w:jc w:val="left"/>
            </w:pPr>
            <w:r>
              <w:t xml:space="preserve">Tuned per provider and per model version</w:t>
            </w:r>
          </w:p>
        </w:tc>
        <w:tc>
          <w:tcPr/>
          <w:p>
            <w:pPr>
              <w:pStyle w:val="Compact"/>
              <w:jc w:val="left"/>
            </w:pPr>
            <w:r>
              <w:t xml:space="preserve">OpenAI models follow instructions more literally; Claude tolerates imprecise ones</w:t>
            </w:r>
          </w:p>
        </w:tc>
      </w:tr>
      <w:tr>
        <w:tc>
          <w:tcPr/>
          <w:p>
            <w:pPr>
              <w:pStyle w:val="Compact"/>
              <w:jc w:val="left"/>
            </w:pPr>
            <w:r>
              <w:t xml:space="preserve">Tool errors</w:t>
            </w:r>
          </w:p>
        </w:tc>
        <w:tc>
          <w:tcPr/>
          <w:p>
            <w:pPr>
              <w:pStyle w:val="Compact"/>
              <w:jc w:val="left"/>
            </w:pPr>
            <w:r>
              <w:t xml:space="preserve">Typed: InvalidArguments, UnexpectedEnvironment, ProviderError, UserAborted, Timeout; anything else is treated as a harness bug</w:t>
            </w:r>
          </w:p>
        </w:tc>
        <w:tc>
          <w:tcPr/>
          <w:p>
            <w:pPr>
              <w:pStyle w:val="Compact"/>
              <w:jc w:val="left"/>
            </w:pPr>
            <w:r>
              <w:t xml:space="preserve">Alerts fire when errors exceed per-tool, per-model baselines; tool calls now hit</w:t>
            </w:r>
            <w:r>
              <w:t xml:space="preserve"> </w:t>
            </w:r>
            <w:r>
              <w:t xml:space="preserve">“</w:t>
            </w:r>
            <w:r>
              <w:t xml:space="preserve">at least 2 or often 3 9s of reliability</w:t>
            </w:r>
            <w:r>
              <w:t xml:space="preserve">”</w:t>
            </w:r>
          </w:p>
        </w:tc>
      </w:tr>
    </w:tbl>
    <w:p>
      <w:pPr>
        <w:pStyle w:val="BodyText"/>
      </w:pPr>
      <w:r>
        <w:t xml:space="preserve">The typed error channel is the closest thing in Cursor to L3’s observation back to the policy: it tells the model what kind of failure happened, not just that one did.</w:t>
      </w:r>
    </w:p>
    <w:p>
      <w:pPr>
        <w:pStyle w:val="BodyText"/>
      </w:pPr>
      <w:r>
        <w:rPr>
          <w:bCs/>
          <w:b/>
        </w:rPr>
        <w:t xml:space="preserve">The seam: switching models mid-chat.</w:t>
      </w:r>
      <w:r>
        <w:t xml:space="preserve"> </w:t>
      </w:r>
      <w:r>
        <w:t xml:space="preserve">A switch swaps prompts and tools, but the new model must read history another model wrote, which Cursor calls</w:t>
      </w:r>
      <w:r>
        <w:t xml:space="preserve"> </w:t>
      </w:r>
      <w:r>
        <w:t xml:space="preserve">“</w:t>
      </w:r>
      <w:r>
        <w:t xml:space="preserve">out of distribution.</w:t>
      </w:r>
      <w:r>
        <w:t xml:space="preserve">”</w:t>
      </w:r>
      <w:r>
        <w:t xml:space="preserve"> </w:t>
      </w:r>
      <w:r>
        <w:t xml:space="preserve">It also misses the provider-specific prompt cache, making the next turn slower and more expensive, and it may try to call tools from the history that it does not have [3]. Cursor’s advice is one model per conversation [3]. The interface is not a shared schema like a dialogue-act ontology; it is a set of one-to-one adapters, one per model. Router (above) has to price this in, and its training includes cache-miss costs [S12].</w:t>
      </w:r>
    </w:p>
    <w:bookmarkEnd w:id="21"/>
    <w:bookmarkStart w:id="22" w:name="what-this-adds-to-the-map"/>
    <w:p>
      <w:pPr>
        <w:pStyle w:val="Heading2"/>
      </w:pPr>
      <w:r>
        <w:t xml:space="preserve">What this adds to the map</w:t>
      </w:r>
    </w:p>
    <w:p>
      <w:pPr>
        <w:pStyle w:val="FirstParagraph"/>
      </w:pPr>
      <w:r>
        <w:t xml:space="preserve">Policy is latent but increasingly owned: Cursor cannot change the frontier models’ weights, so it trains its own models in its harness and fences rented ones with plan mode, Router and per-vendor adapters. It also tracks L10’s arc from hand-written to learned reward, with each layer using a different 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Reward</w:t>
            </w:r>
          </w:p>
        </w:tc>
        <w:tc>
          <w:tcPr/>
          <w:p>
            <w:pPr>
              <w:pStyle w:val="Compact"/>
              <w:jc w:val="left"/>
            </w:pPr>
            <w:r>
              <w:t xml:space="preserve">Who writes it</w:t>
            </w:r>
          </w:p>
        </w:tc>
      </w:tr>
      <w:tr>
        <w:tc>
          <w:tcPr/>
          <w:p>
            <w:pPr>
              <w:pStyle w:val="Compact"/>
              <w:jc w:val="left"/>
            </w:pPr>
            <w:r>
              <w:t xml:space="preserve">Tab</w:t>
            </w:r>
          </w:p>
        </w:tc>
        <w:tc>
          <w:tcPr/>
          <w:p>
            <w:pPr>
              <w:pStyle w:val="Compact"/>
              <w:jc w:val="left"/>
            </w:pPr>
            <w:r>
              <w:t xml:space="preserve">+0.75 / −0.25 / 0 on accept, reject, silence [4]</w:t>
            </w:r>
          </w:p>
        </w:tc>
        <w:tc>
          <w:tcPr/>
          <w:p>
            <w:pPr>
              <w:pStyle w:val="Compact"/>
              <w:jc w:val="left"/>
            </w:pPr>
            <w:r>
              <w:t xml:space="preserve">Hand-written (L3 style)</w:t>
            </w:r>
          </w:p>
        </w:tc>
      </w:tr>
      <w:tr>
        <w:tc>
          <w:tcPr/>
          <w:p>
            <w:pPr>
              <w:pStyle w:val="Compact"/>
              <w:jc w:val="left"/>
            </w:pPr>
            <w:r>
              <w:t xml:space="preserve">Composer</w:t>
            </w:r>
          </w:p>
        </w:tc>
        <w:tc>
          <w:tcPr/>
          <w:p>
            <w:pPr>
              <w:pStyle w:val="Compact"/>
              <w:jc w:val="left"/>
            </w:pPr>
            <w:r>
              <w:t xml:space="preserve">Task outcome in a sandbox; function not published [5]</w:t>
            </w:r>
          </w:p>
        </w:tc>
        <w:tc>
          <w:tcPr/>
          <w:p>
            <w:pPr>
              <w:pStyle w:val="Compact"/>
              <w:jc w:val="left"/>
            </w:pPr>
            <w:r>
              <w:t xml:space="preserve">Environment</w:t>
            </w:r>
          </w:p>
        </w:tc>
      </w:tr>
      <w:tr>
        <w:tc>
          <w:tcPr/>
          <w:p>
            <w:pPr>
              <w:pStyle w:val="Compact"/>
              <w:jc w:val="left"/>
            </w:pPr>
            <w:r>
              <w:t xml:space="preserve">Router</w:t>
            </w:r>
          </w:p>
        </w:tc>
        <w:tc>
          <w:tcPr/>
          <w:p>
            <w:pPr>
              <w:pStyle w:val="Compact"/>
              <w:jc w:val="left"/>
            </w:pPr>
            <w:r>
              <w:t xml:space="preserve">User satisfaction (moving on vs correcting the agent) plus Keep Rate [S12]</w:t>
            </w:r>
          </w:p>
        </w:tc>
        <w:tc>
          <w:tcPr/>
          <w:p>
            <w:pPr>
              <w:pStyle w:val="Compact"/>
              <w:jc w:val="left"/>
            </w:pPr>
            <w:r>
              <w:t xml:space="preserve">Learned proxy (L10 style)</w:t>
            </w:r>
          </w:p>
        </w:tc>
      </w:tr>
    </w:tbl>
    <w:p>
      <w:pPr>
        <w:pStyle w:val="BodyText"/>
      </w:pPr>
      <w:r>
        <w:t xml:space="preserve">What is missing: none of these rewards sees the user’s actual goal. Accept rate, Keep Rate and</w:t>
      </w:r>
      <w:r>
        <w:t xml:space="preserve"> </w:t>
      </w:r>
      <w:r>
        <w:t xml:space="preserve">“</w:t>
      </w:r>
      <w:r>
        <w:t xml:space="preserve">moved on to the next feature</w:t>
      </w:r>
      <w:r>
        <w:t xml:space="preserve">”</w:t>
      </w:r>
      <w:r>
        <w:t xml:space="preserve"> </w:t>
      </w:r>
      <w:r>
        <w:t xml:space="preserve">are proxies, and L10’s overoptimization warning applies directly; Tab, by Cursor’s own description, learns</w:t>
      </w:r>
      <w:r>
        <w:t xml:space="preserve"> </w:t>
      </w:r>
      <w:r>
        <w:t xml:space="preserve">“</w:t>
      </w:r>
      <w:r>
        <w:t xml:space="preserve">a policy that targets a particular accept rate</w:t>
      </w:r>
      <w:r>
        <w:t xml:space="preserve">”</w:t>
      </w:r>
      <w:r>
        <w:t xml:space="preserve"> </w:t>
      </w:r>
      <w:r>
        <w:t xml:space="preserve">[4].</w:t>
      </w:r>
    </w:p>
    <w:bookmarkEnd w:id="22"/>
    <w:bookmarkStart w:id="23" w:name="exhibit-annotated-agent-transcript"/>
    <w:p>
      <w:pPr>
        <w:pStyle w:val="Heading2"/>
      </w:pPr>
      <w:r>
        <w:t xml:space="preserve">Exhibit: annotated agent transcript</w:t>
      </w:r>
    </w:p>
    <w:p>
      <w:pPr>
        <w:pStyle w:val="FirstParagraph"/>
      </w:pPr>
      <w:r>
        <w:t xml:space="preserve">One real Cursor agent session on the team’s shared task, with every turn tagged by which box it belongs to. The transcript has to come from the same session as Canting’s runs, so it waits on the task being fixed by Thu Oct 22; nothing below is filled with made-up turns.</w:t>
      </w:r>
    </w:p>
    <w:p>
      <w:pPr>
        <w:pStyle w:val="BodyText"/>
      </w:pPr>
      <w:r>
        <w:rPr>
          <w:bCs/>
          <w:b/>
        </w:rPr>
        <w:t xml:space="preserve">Labeling scheme</w:t>
      </w:r>
      <w:r>
        <w:t xml:space="preserve"> </w:t>
      </w:r>
      <w:r>
        <w:t xml:space="preserve">(one tag per turn, a second only if truly needed):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Tag</w:t>
            </w:r>
          </w:p>
        </w:tc>
        <w:tc>
          <w:tcPr/>
          <w:p>
            <w:pPr>
              <w:pStyle w:val="Compact"/>
              <w:jc w:val="left"/>
            </w:pPr>
            <w:r>
              <w:t xml:space="preserve">Box</w:t>
            </w:r>
          </w:p>
        </w:tc>
        <w:tc>
          <w:tcPr/>
          <w:p>
            <w:pPr>
              <w:pStyle w:val="Compact"/>
              <w:jc w:val="left"/>
            </w:pPr>
            <w:r>
              <w:t xml:space="preserve">What counts</w:t>
            </w:r>
          </w:p>
        </w:tc>
      </w:tr>
      <w:tr>
        <w:tc>
          <w:tcPr/>
          <w:p>
            <w:pPr>
              <w:pStyle w:val="Compact"/>
              <w:jc w:val="left"/>
            </w:pPr>
            <w:r>
              <w:t xml:space="preserve">U</w:t>
            </w:r>
          </w:p>
        </w:tc>
        <w:tc>
          <w:tcPr/>
          <w:p>
            <w:pPr>
              <w:pStyle w:val="Compact"/>
              <w:jc w:val="left"/>
            </w:pPr>
            <w:r>
              <w:t xml:space="preserve">Understanding</w:t>
            </w:r>
          </w:p>
        </w:tc>
        <w:tc>
          <w:tcPr/>
          <w:p>
            <w:pPr>
              <w:pStyle w:val="Compact"/>
              <w:jc w:val="left"/>
            </w:pPr>
            <w:r>
              <w:t xml:space="preserve">Semantic search or grep that grounds the request in code</w:t>
            </w:r>
          </w:p>
        </w:tc>
      </w:tr>
      <w:tr>
        <w:tc>
          <w:tcPr/>
          <w:p>
            <w:pPr>
              <w:pStyle w:val="Compact"/>
              <w:jc w:val="left"/>
            </w:pPr>
            <w:r>
              <w:t xml:space="preserve">S</w:t>
            </w:r>
          </w:p>
        </w:tc>
        <w:tc>
          <w:tcPr/>
          <w:p>
            <w:pPr>
              <w:pStyle w:val="Compact"/>
              <w:jc w:val="left"/>
            </w:pPr>
            <w:r>
              <w:t xml:space="preserve">State</w:t>
            </w:r>
          </w:p>
        </w:tc>
        <w:tc>
          <w:tcPr/>
          <w:p>
            <w:pPr>
              <w:pStyle w:val="Compact"/>
              <w:jc w:val="left"/>
            </w:pPr>
            <w:r>
              <w:t xml:space="preserve">Reading files, writing or updating the plan or to-do list, summaries, rules files loaded</w:t>
            </w:r>
          </w:p>
        </w:tc>
      </w:tr>
      <w:tr>
        <w:tc>
          <w:tcPr/>
          <w:p>
            <w:pPr>
              <w:pStyle w:val="Compact"/>
              <w:jc w:val="left"/>
            </w:pPr>
            <w:r>
              <w:t xml:space="preserve">P</w:t>
            </w:r>
          </w:p>
        </w:tc>
        <w:tc>
          <w:tcPr/>
          <w:p>
            <w:pPr>
              <w:pStyle w:val="Compact"/>
              <w:jc w:val="left"/>
            </w:pPr>
            <w:r>
              <w:t xml:space="preserve">Policy</w:t>
            </w:r>
          </w:p>
        </w:tc>
        <w:tc>
          <w:tcPr/>
          <w:p>
            <w:pPr>
              <w:pStyle w:val="Compact"/>
              <w:jc w:val="left"/>
            </w:pPr>
            <w:r>
              <w:t xml:space="preserve">The choice itself: which tool next, asking a clarifying question, stopping, parallel calls</w:t>
            </w:r>
          </w:p>
        </w:tc>
      </w:tr>
      <w:tr>
        <w:tc>
          <w:tcPr/>
          <w:p>
            <w:pPr>
              <w:pStyle w:val="Compact"/>
              <w:jc w:val="left"/>
            </w:pPr>
            <w:r>
              <w:t xml:space="preserve">G</w:t>
            </w:r>
          </w:p>
        </w:tc>
        <w:tc>
          <w:tcPr/>
          <w:p>
            <w:pPr>
              <w:pStyle w:val="Compact"/>
              <w:jc w:val="left"/>
            </w:pPr>
            <w:r>
              <w:t xml:space="preserve">Generation</w:t>
            </w:r>
          </w:p>
        </w:tc>
        <w:tc>
          <w:tcPr/>
          <w:p>
            <w:pPr>
              <w:pStyle w:val="Compact"/>
              <w:jc w:val="left"/>
            </w:pPr>
            <w:r>
              <w:t xml:space="preserve">The edit diff or the final answer text</w:t>
            </w:r>
          </w:p>
        </w:tc>
      </w:tr>
      <w:tr>
        <w:tc>
          <w:tcPr/>
          <w:p>
            <w:pPr>
              <w:pStyle w:val="Compact"/>
              <w:jc w:val="left"/>
            </w:pPr>
            <w:r>
              <w:t xml:space="preserve">I</w:t>
            </w:r>
          </w:p>
        </w:tc>
        <w:tc>
          <w:tcPr/>
          <w:p>
            <w:pPr>
              <w:pStyle w:val="Compact"/>
              <w:jc w:val="left"/>
            </w:pPr>
            <w:r>
              <w:t xml:space="preserve">Interface</w:t>
            </w:r>
          </w:p>
        </w:tc>
        <w:tc>
          <w:tcPr/>
          <w:p>
            <w:pPr>
              <w:pStyle w:val="Compact"/>
              <w:jc w:val="left"/>
            </w:pPr>
            <w:r>
              <w:t xml:space="preserve">Edit format used, a typed tool error, a retry after a failed call</w:t>
            </w:r>
          </w:p>
        </w:tc>
      </w:tr>
    </w:tbl>
    <w:p>
      <w:pPr>
        <w:pStyle w:val="BodyText"/>
      </w:pPr>
      <w:r>
        <w:rPr>
          <w:bCs/>
          <w:b/>
        </w:rPr>
        <w:t xml:space="preserve">Capture plan:</w:t>
      </w:r>
    </w:p>
    <w:p>
      <w:pPr>
        <w:numPr>
          <w:ilvl w:val="0"/>
          <w:numId w:val="1002"/>
        </w:numPr>
        <w:pStyle w:val="Compact"/>
      </w:pPr>
      <w:r>
        <w:t xml:space="preserve">☐ Run the shared task once in plan mode, then let it build from the plan, so the transcript shows ask, plan, tool calls, edit and test in one session</w:t>
      </w:r>
    </w:p>
    <w:p>
      <w:pPr>
        <w:numPr>
          <w:ilvl w:val="0"/>
          <w:numId w:val="1002"/>
        </w:numPr>
        <w:pStyle w:val="Compact"/>
      </w:pPr>
      <w:r>
        <w:t xml:space="preserve">☐ Use the same model as one of Canting’s runs, and record the model and mode in the header</w:t>
      </w:r>
    </w:p>
    <w:p>
      <w:pPr>
        <w:numPr>
          <w:ilvl w:val="0"/>
          <w:numId w:val="1002"/>
        </w:numPr>
        <w:pStyle w:val="Compact"/>
      </w:pPr>
      <w:r>
        <w:t xml:space="preserve">☐ Save the full transcript plus screenshots of the tool-call panel</w:t>
      </w:r>
    </w:p>
    <w:p>
      <w:pPr>
        <w:numPr>
          <w:ilvl w:val="0"/>
          <w:numId w:val="1002"/>
        </w:numPr>
        <w:pStyle w:val="Compact"/>
      </w:pPr>
      <w:r>
        <w:t xml:space="preserve">☐ Tag every turn, then pick 8 to 12 turns for the slide and a callout for each</w:t>
      </w:r>
    </w:p>
    <w:p>
      <w:pPr>
        <w:numPr>
          <w:ilvl w:val="0"/>
          <w:numId w:val="1002"/>
        </w:numPr>
        <w:pStyle w:val="Compact"/>
      </w:pPr>
      <w:r>
        <w:t xml:space="preserve">☐ Optional: rerun one edit step with an OpenAI model and an Anthropic model to see whether the patch vs string-replace difference shows up in the tool calls</w:t>
      </w:r>
    </w:p>
    <w:p>
      <w:pPr>
        <w:pStyle w:val="FirstParagraph"/>
      </w:pPr>
      <w:r>
        <w:rPr>
          <w:bCs/>
          <w:b/>
        </w:rPr>
        <w:t xml:space="preserve">Exhibit layout:</w:t>
      </w:r>
      <w:r>
        <w:t xml:space="preserve"> </w:t>
      </w:r>
      <w:r>
        <w:t xml:space="preserve">transcript down the left, a colored tag per turn, and three callouts on the right: the clarifying question (P), the first parallel tool batch (P), and the diff landing (G and I).</w:t>
      </w:r>
    </w:p>
    <w:bookmarkEnd w:id="23"/>
    <w:bookmarkStart w:id="24" w:name="slides-and-talk"/>
    <w:p>
      <w:pPr>
        <w:pStyle w:val="Heading2"/>
      </w:pPr>
      <w:r>
        <w:t xml:space="preserve">Slides and talk</w:t>
      </w:r>
    </w:p>
    <w:p>
      <w:pPr>
        <w:pStyle w:val="FirstParagraph"/>
      </w:pPr>
      <w:r>
        <w:t xml:space="preserve">Two of the team’s eight slides, about 2.5 minutes of the 10.</w:t>
      </w:r>
    </w:p>
    <w:p>
      <w:pPr>
        <w:pStyle w:val="BodyText"/>
      </w:pPr>
      <w:r>
        <w:rPr>
          <w:bCs/>
          <w:b/>
        </w:rPr>
        <w:t xml:space="preserve">Slide A:</w:t>
      </w:r>
      <w:r>
        <w:rPr>
          <w:bCs/>
          <w:b/>
        </w:rPr>
        <w:t xml:space="preserve"> </w:t>
      </w:r>
      <w:r>
        <w:rPr>
          <w:bCs/>
          <w:b/>
        </w:rPr>
        <w:t xml:space="preserve">“</w:t>
      </w:r>
      <w:r>
        <w:rPr>
          <w:bCs/>
          <w:b/>
        </w:rPr>
        <w:t xml:space="preserve">Policy is latent, but Cursor trains and fences it</w:t>
      </w:r>
      <w:r>
        <w:rPr>
          <w:bCs/>
          <w:b/>
        </w:rPr>
        <w:t xml:space="preserve">”</w:t>
      </w:r>
    </w:p>
    <w:p>
      <w:pPr>
        <w:numPr>
          <w:ilvl w:val="0"/>
          <w:numId w:val="1003"/>
        </w:numPr>
        <w:pStyle w:val="Compact"/>
      </w:pPr>
      <w:r>
        <w:t xml:space="preserve">Three-row ladder: Tab (hand-written reward, abstain action) → Composer (RL in Cursor’s own sandboxes, trained to summarize itself) → controls (plan mode, Router)</w:t>
      </w:r>
    </w:p>
    <w:p>
      <w:pPr>
        <w:numPr>
          <w:ilvl w:val="0"/>
          <w:numId w:val="1003"/>
        </w:numPr>
        <w:pStyle w:val="Compact"/>
      </w:pPr>
      <w:r>
        <w:t xml:space="preserve">One number per row: 21% fewer suggestions, 28% higher accept rate; 50% less compaction error; about 60% savings at frontier quality</w:t>
      </w:r>
    </w:p>
    <w:p>
      <w:pPr>
        <w:numPr>
          <w:ilvl w:val="0"/>
          <w:numId w:val="1003"/>
        </w:numPr>
        <w:pStyle w:val="Compact"/>
      </w:pPr>
      <w:r>
        <w:t xml:space="preserve">Footer: L3 r(s,a) → L10 learned reward</w:t>
      </w:r>
    </w:p>
    <w:p>
      <w:pPr>
        <w:pStyle w:val="FirstParagraph"/>
      </w:pPr>
      <w:r>
        <w:rPr>
          <w:bCs/>
          <w:b/>
        </w:rPr>
        <w:t xml:space="preserve">Slide B:</w:t>
      </w:r>
      <w:r>
        <w:rPr>
          <w:bCs/>
          <w:b/>
        </w:rPr>
        <w:t xml:space="preserve"> </w:t>
      </w:r>
      <w:r>
        <w:rPr>
          <w:bCs/>
          <w:b/>
        </w:rPr>
        <w:t xml:space="preserve">“</w:t>
      </w:r>
      <w:r>
        <w:rPr>
          <w:bCs/>
          <w:b/>
        </w:rPr>
        <w:t xml:space="preserve">The exhibit: one session, every turn labeled</w:t>
      </w:r>
      <w:r>
        <w:rPr>
          <w:bCs/>
          <w:b/>
        </w:rPr>
        <w:t xml:space="preserve">”</w:t>
      </w:r>
    </w:p>
    <w:p>
      <w:pPr>
        <w:numPr>
          <w:ilvl w:val="0"/>
          <w:numId w:val="1004"/>
        </w:numPr>
        <w:pStyle w:val="Compact"/>
      </w:pPr>
      <w:r>
        <w:t xml:space="preserve">The annotated transcript, with three callouts</w:t>
      </w:r>
    </w:p>
    <w:p>
      <w:pPr>
        <w:numPr>
          <w:ilvl w:val="0"/>
          <w:numId w:val="1004"/>
        </w:numPr>
        <w:pStyle w:val="Compact"/>
      </w:pPr>
      <w:r>
        <w:t xml:space="preserve">Side box on interfaces: patch vs string replace, typed errors, and</w:t>
      </w:r>
      <w:r>
        <w:t xml:space="preserve"> </w:t>
      </w:r>
      <w:r>
        <w:t xml:space="preserve">“</w:t>
      </w:r>
      <w:r>
        <w:t xml:space="preserve">one model per chat</w:t>
      </w:r>
      <w:r>
        <w:t xml:space="preserve">”</w:t>
      </w:r>
      <w:r>
        <w:t xml:space="preserve"> </w:t>
      </w:r>
      <w:r>
        <w:t xml:space="preserve">as the seam</w:t>
      </w:r>
    </w:p>
    <w:p>
      <w:pPr>
        <w:pStyle w:val="FirstParagraph"/>
      </w:pPr>
      <w:r>
        <w:rPr>
          <w:bCs/>
          <w:b/>
        </w:rPr>
        <w:t xml:space="preserve">Talking points:</w:t>
      </w:r>
    </w:p>
    <w:p>
      <w:pPr>
        <w:numPr>
          <w:ilvl w:val="0"/>
          <w:numId w:val="1005"/>
        </w:numPr>
        <w:pStyle w:val="Compact"/>
      </w:pPr>
      <w:r>
        <w:t xml:space="preserve">In L3 the policy chooses ask, confirm or act. In Cursor the act is a tool call, and the model makes that choice; so the policy is latent.</w:t>
      </w:r>
    </w:p>
    <w:p>
      <w:pPr>
        <w:numPr>
          <w:ilvl w:val="0"/>
          <w:numId w:val="1005"/>
        </w:numPr>
        <w:pStyle w:val="Compact"/>
      </w:pPr>
      <w:r>
        <w:t xml:space="preserve">But Cursor works on that policy at three levels. Tab is the cleanest example: a two-action policy, accept +0.75, reject −0.25, silence 0. That is the L3 reward written down, and it learned to suggest 21% less.</w:t>
      </w:r>
    </w:p>
    <w:p>
      <w:pPr>
        <w:numPr>
          <w:ilvl w:val="0"/>
          <w:numId w:val="1005"/>
        </w:numPr>
        <w:pStyle w:val="Compact"/>
      </w:pPr>
      <w:r>
        <w:t xml:space="preserve">Composer is Cursor training the policy inside its own harness, on the same tools you use. Composer 2 even learns to write its own summaries, so belief-state management becomes part of the policy.</w:t>
      </w:r>
    </w:p>
    <w:p>
      <w:pPr>
        <w:numPr>
          <w:ilvl w:val="0"/>
          <w:numId w:val="1005"/>
        </w:numPr>
        <w:pStyle w:val="Compact"/>
      </w:pPr>
      <w:r>
        <w:t xml:space="preserve">For models Cursor rents, it uses controls instead: plan mode is a confirm-before-act switch, and Router is a learned policy that picks which model’s policy runs.</w:t>
      </w:r>
    </w:p>
    <w:p>
      <w:pPr>
        <w:numPr>
          <w:ilvl w:val="0"/>
          <w:numId w:val="1005"/>
        </w:numPr>
        <w:pStyle w:val="Compact"/>
      </w:pPr>
      <w:r>
        <w:t xml:space="preserve">[Point at exhibit] Here is one real session. Policy turns are where it chose to ask, to search in parallel, or to stop.</w:t>
      </w:r>
    </w:p>
    <w:p>
      <w:pPr>
        <w:numPr>
          <w:ilvl w:val="0"/>
          <w:numId w:val="1005"/>
        </w:numPr>
        <w:pStyle w:val="Compact"/>
      </w:pPr>
      <w:r>
        <w:t xml:space="preserve">The seam is interfaces. Each vendor gets its own edit format, so switching models mid-chat puts a model on history it would never have written. Cursor’s own advice: one model per chat.</w:t>
      </w:r>
    </w:p>
    <w:p>
      <w:pPr>
        <w:numPr>
          <w:ilvl w:val="0"/>
          <w:numId w:val="1005"/>
        </w:numPr>
        <w:pStyle w:val="Compact"/>
      </w:pPr>
      <w:r>
        <w:t xml:space="preserve">Hand off to Heeba on economics.</w:t>
      </w:r>
    </w:p>
    <w:bookmarkEnd w:id="24"/>
    <w:bookmarkStart w:id="25" w:name="open-questions-for-the-team"/>
    <w:p>
      <w:pPr>
        <w:pStyle w:val="Heading2"/>
      </w:pPr>
      <w:r>
        <w:t xml:space="preserve">Open questions for the team</w:t>
      </w:r>
    </w:p>
    <w:p>
      <w:pPr>
        <w:numPr>
          <w:ilvl w:val="0"/>
          <w:numId w:val="1006"/>
        </w:numPr>
        <w:pStyle w:val="Compact"/>
      </w:pPr>
      <w:r>
        <w:t xml:space="preserve">☐ Brief fix before Wed: the policy row says tool-call caps are an explicit control, but Cursor’s harness post says those guardrails were mostly removed [3]. Suggest rewording to</w:t>
      </w:r>
      <w:r>
        <w:t xml:space="preserve"> </w:t>
      </w:r>
      <w:r>
        <w:t xml:space="preserve">“</w:t>
      </w:r>
      <w:r>
        <w:t xml:space="preserve">plan mode and Router are explicit controls.</w:t>
      </w:r>
      <w:r>
        <w:t xml:space="preserve">”</w:t>
      </w:r>
    </w:p>
    <w:p>
      <w:pPr>
        <w:numPr>
          <w:ilvl w:val="0"/>
          <w:numId w:val="1006"/>
        </w:numPr>
        <w:pStyle w:val="Compact"/>
      </w:pPr>
      <w:r>
        <w:t xml:space="preserve">☐ Brief fix:</w:t>
      </w:r>
      <w:r>
        <w:t xml:space="preserve"> </w:t>
      </w:r>
      <w:r>
        <w:t xml:space="preserve">“</w:t>
      </w:r>
      <w:r>
        <w:t xml:space="preserve">Auto routing</w:t>
      </w:r>
      <w:r>
        <w:t xml:space="preserve">”</w:t>
      </w:r>
      <w:r>
        <w:t xml:space="preserve"> </w:t>
      </w:r>
      <w:r>
        <w:t xml:space="preserve">is now Cursor Router (Jul 22, 2026), a trained classifier with three modes [S12].</w:t>
      </w:r>
    </w:p>
    <w:p>
      <w:pPr>
        <w:numPr>
          <w:ilvl w:val="0"/>
          <w:numId w:val="1006"/>
        </w:numPr>
        <w:pStyle w:val="Compact"/>
      </w:pPr>
      <w:r>
        <w:t xml:space="preserve">☐ Greyson: Composer 2 self-summarization touches state too. I frame it as the policy learning to manage state; agree who explains the mechanism.</w:t>
      </w:r>
    </w:p>
    <w:p>
      <w:pPr>
        <w:numPr>
          <w:ilvl w:val="0"/>
          <w:numId w:val="1006"/>
        </w:numPr>
        <w:pStyle w:val="Compact"/>
      </w:pPr>
      <w:r>
        <w:t xml:space="preserve">☐ Heeba: Router’s Cost / Balance / Intelligence modes are also a pricing story. I’ll keep to how it routes; the cost numbers are yours if you want them.</w:t>
      </w:r>
    </w:p>
    <w:p>
      <w:pPr>
        <w:numPr>
          <w:ilvl w:val="0"/>
          <w:numId w:val="1006"/>
        </w:numPr>
        <w:pStyle w:val="Compact"/>
      </w:pPr>
      <w:r>
        <w:t xml:space="preserve">☐ Speaking order: the talk notes assume I hand off to Heeba.</w:t>
      </w:r>
    </w:p>
    <w:p>
      <w:pPr>
        <w:numPr>
          <w:ilvl w:val="0"/>
          <w:numId w:val="1006"/>
        </w:numPr>
        <w:pStyle w:val="Compact"/>
      </w:pPr>
      <w:r>
        <w:t xml:space="preserve">☐ L16 and L17 slides aren’t posted yet; I’ll swap in their terms (planning, agent loop) once they are.</w:t>
      </w:r>
    </w:p>
    <w:bookmarkEnd w:id="25"/>
    <w:bookmarkStart w:id="34" w:name="sources"/>
    <w:p>
      <w:pPr>
        <w:pStyle w:val="Heading2"/>
      </w:pPr>
      <w:r>
        <w:t xml:space="preserve">Sources</w:t>
      </w:r>
    </w:p>
    <w:p>
      <w:pPr>
        <w:pStyle w:val="FirstParagraph"/>
      </w:pPr>
      <w:r>
        <w:t xml:space="preserve">Numbering follows the team brief; S10 to S12 are new.</w:t>
      </w:r>
    </w:p>
    <w:p>
      <w:pPr>
        <w:numPr>
          <w:ilvl w:val="0"/>
          <w:numId w:val="1007"/>
        </w:numPr>
        <w:pStyle w:val="Compact"/>
      </w:pPr>
      <w:r>
        <w:t xml:space="preserve">[3] Cursor,</w:t>
      </w:r>
      <w:r>
        <w:t xml:space="preserve"> </w:t>
      </w:r>
      <w:hyperlink r:id="rId26">
        <w:r>
          <w:rPr>
            <w:rStyle w:val="Hyperlink"/>
          </w:rPr>
          <w:t xml:space="preserve">“</w:t>
        </w:r>
        <w:r>
          <w:rPr>
            <w:rStyle w:val="Hyperlink"/>
          </w:rPr>
          <w:t xml:space="preserve">Continually improving our agent harness</w:t>
        </w:r>
        <w:r>
          <w:rPr>
            <w:rStyle w:val="Hyperlink"/>
          </w:rPr>
          <w:t xml:space="preserve">”</w:t>
        </w:r>
      </w:hyperlink>
      <w:r>
        <w:t xml:space="preserve"> </w:t>
      </w:r>
      <w:r>
        <w:t xml:space="preserve">(Apr 30, 2026)</w:t>
      </w:r>
    </w:p>
    <w:p>
      <w:pPr>
        <w:numPr>
          <w:ilvl w:val="0"/>
          <w:numId w:val="1007"/>
        </w:numPr>
        <w:pStyle w:val="Compact"/>
      </w:pPr>
      <w:r>
        <w:t xml:space="preserve">[4] Cursor,</w:t>
      </w:r>
      <w:r>
        <w:t xml:space="preserve"> </w:t>
      </w:r>
      <w:hyperlink r:id="rId27">
        <w:r>
          <w:rPr>
            <w:rStyle w:val="Hyperlink"/>
          </w:rPr>
          <w:t xml:space="preserve">“</w:t>
        </w:r>
        <w:r>
          <w:rPr>
            <w:rStyle w:val="Hyperlink"/>
          </w:rPr>
          <w:t xml:space="preserve">Improving Cursor Tab with online RL</w:t>
        </w:r>
        <w:r>
          <w:rPr>
            <w:rStyle w:val="Hyperlink"/>
          </w:rPr>
          <w:t xml:space="preserve">”</w:t>
        </w:r>
      </w:hyperlink>
      <w:r>
        <w:t xml:space="preserve"> </w:t>
      </w:r>
      <w:r>
        <w:t xml:space="preserve">(Sep 12, 2025)</w:t>
      </w:r>
    </w:p>
    <w:p>
      <w:pPr>
        <w:numPr>
          <w:ilvl w:val="0"/>
          <w:numId w:val="1007"/>
        </w:numPr>
        <w:pStyle w:val="Compact"/>
      </w:pPr>
      <w:r>
        <w:t xml:space="preserve">[5] Cursor,</w:t>
      </w:r>
      <w:r>
        <w:t xml:space="preserve"> </w:t>
      </w:r>
      <w:hyperlink r:id="rId28">
        <w:r>
          <w:rPr>
            <w:rStyle w:val="Hyperlink"/>
          </w:rPr>
          <w:t xml:space="preserve">“</w:t>
        </w:r>
        <w:r>
          <w:rPr>
            <w:rStyle w:val="Hyperlink"/>
          </w:rPr>
          <w:t xml:space="preserve">Composer: building a fast frontier model with RL</w:t>
        </w:r>
        <w:r>
          <w:rPr>
            <w:rStyle w:val="Hyperlink"/>
          </w:rPr>
          <w:t xml:space="preserve">”</w:t>
        </w:r>
      </w:hyperlink>
      <w:r>
        <w:t xml:space="preserve"> </w:t>
      </w:r>
      <w:r>
        <w:t xml:space="preserve">(Oct 29, 2025)</w:t>
      </w:r>
    </w:p>
    <w:p>
      <w:pPr>
        <w:numPr>
          <w:ilvl w:val="0"/>
          <w:numId w:val="1007"/>
        </w:numPr>
        <w:pStyle w:val="Compact"/>
      </w:pPr>
      <w:r>
        <w:t xml:space="preserve">[S10] Cursor,</w:t>
      </w:r>
      <w:r>
        <w:t xml:space="preserve"> </w:t>
      </w:r>
      <w:hyperlink r:id="rId29">
        <w:r>
          <w:rPr>
            <w:rStyle w:val="Hyperlink"/>
          </w:rPr>
          <w:t xml:space="preserve">self-summarization research post</w:t>
        </w:r>
      </w:hyperlink>
      <w:r>
        <w:t xml:space="preserve"> </w:t>
      </w:r>
      <w:r>
        <w:t xml:space="preserve">(Mar 17, 2026)</w:t>
      </w:r>
    </w:p>
    <w:p>
      <w:pPr>
        <w:numPr>
          <w:ilvl w:val="0"/>
          <w:numId w:val="1007"/>
        </w:numPr>
        <w:pStyle w:val="Compact"/>
      </w:pPr>
      <w:r>
        <w:t xml:space="preserve">[S11] Cursor,</w:t>
      </w:r>
      <w:r>
        <w:t xml:space="preserve"> </w:t>
      </w:r>
      <w:hyperlink r:id="rId30">
        <w:r>
          <w:rPr>
            <w:rStyle w:val="Hyperlink"/>
          </w:rPr>
          <w:t xml:space="preserve">Plan Mode blog post</w:t>
        </w:r>
      </w:hyperlink>
      <w:r>
        <w:t xml:space="preserve"> </w:t>
      </w:r>
      <w:r>
        <w:t xml:space="preserve">(Oct 7, 2025)</w:t>
      </w:r>
    </w:p>
    <w:p>
      <w:pPr>
        <w:numPr>
          <w:ilvl w:val="0"/>
          <w:numId w:val="1007"/>
        </w:numPr>
        <w:pStyle w:val="Compact"/>
      </w:pPr>
      <w:r>
        <w:t xml:space="preserve">[S12] Cursor,</w:t>
      </w:r>
      <w:r>
        <w:t xml:space="preserve"> </w:t>
      </w:r>
      <w:hyperlink r:id="rId31">
        <w:r>
          <w:rPr>
            <w:rStyle w:val="Hyperlink"/>
          </w:rPr>
          <w:t xml:space="preserve">Cursor Router launch post</w:t>
        </w:r>
      </w:hyperlink>
      <w:r>
        <w:t xml:space="preserve"> </w:t>
      </w:r>
      <w:r>
        <w:t xml:space="preserve">(Jul 22, 2026); also the</w:t>
      </w:r>
      <w:r>
        <w:t xml:space="preserve"> </w:t>
      </w:r>
      <w:hyperlink r:id="rId32">
        <w:r>
          <w:rPr>
            <w:rStyle w:val="Hyperlink"/>
          </w:rPr>
          <w:t xml:space="preserve">Cursor Router help page</w:t>
        </w:r>
      </w:hyperlink>
    </w:p>
    <w:p>
      <w:pPr>
        <w:numPr>
          <w:ilvl w:val="0"/>
          <w:numId w:val="1007"/>
        </w:numPr>
        <w:pStyle w:val="Compact"/>
      </w:pPr>
      <w:r>
        <w:t xml:space="preserve">Background: DataCamp,</w:t>
      </w:r>
      <w:r>
        <w:t xml:space="preserve"> </w:t>
      </w:r>
      <w:hyperlink r:id="rId33">
        <w:r>
          <w:rPr>
            <w:rStyle w:val="Hyperlink"/>
          </w:rPr>
          <w:t xml:space="preserve">“</w:t>
        </w:r>
        <w:r>
          <w:rPr>
            <w:rStyle w:val="Hyperlink"/>
          </w:rPr>
          <w:t xml:space="preserve">Composer 2</w:t>
        </w:r>
        <w:r>
          <w:rPr>
            <w:rStyle w:val="Hyperlink"/>
          </w:rPr>
          <w:t xml:space="preserve">”</w:t>
        </w:r>
      </w:hyperlink>
      <w:r>
        <w:t xml:space="preserve"> </w:t>
      </w:r>
      <w:r>
        <w:t xml:space="preserve">(Kimi K2.5 base, compute split)</w:t>
      </w:r>
    </w:p>
    <w:p>
      <w:pPr>
        <w:numPr>
          <w:ilvl w:val="0"/>
          <w:numId w:val="1007"/>
        </w:numPr>
        <w:pStyle w:val="Compact"/>
      </w:pPr>
      <w:r>
        <w:t xml:space="preserve">Course: L3 Dialogue as a POMDP; L10 Post-Training</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cursor.com/blog/composer" TargetMode="External" /><Relationship Type="http://schemas.openxmlformats.org/officeDocument/2006/relationships/hyperlink" Id="rId26" Target="https://cursor.com/blog/continually-improving-agent-harness" TargetMode="External" /><Relationship Type="http://schemas.openxmlformats.org/officeDocument/2006/relationships/hyperlink" Id="rId30" Target="https://cursor.com/blog/plan-mode" TargetMode="External" /><Relationship Type="http://schemas.openxmlformats.org/officeDocument/2006/relationships/hyperlink" Id="rId31" Target="https://cursor.com/blog/router" TargetMode="External" /><Relationship Type="http://schemas.openxmlformats.org/officeDocument/2006/relationships/hyperlink" Id="rId29" Target="https://cursor.com/blog/self-summarization" TargetMode="External" /><Relationship Type="http://schemas.openxmlformats.org/officeDocument/2006/relationships/hyperlink" Id="rId27" Target="https://cursor.com/blog/tab-rl" TargetMode="External" /><Relationship Type="http://schemas.openxmlformats.org/officeDocument/2006/relationships/hyperlink" Id="rId32" Target="https://cursor.com/help/models-and-usage/cursor-router" TargetMode="External" /><Relationship Type="http://schemas.openxmlformats.org/officeDocument/2006/relationships/hyperlink" Id="rId33" Target="https://www.datacamp.com/blog/composer-2" TargetMode="External" /></Relationships>
</file>

<file path=word/_rels/footnotes.xml.rels><?xml version="1.0" encoding="UTF-8"?><Relationships xmlns="http://schemas.openxmlformats.org/package/2006/relationships"><Relationship Type="http://schemas.openxmlformats.org/officeDocument/2006/relationships/hyperlink" Id="rId28" Target="https://cursor.com/blog/composer" TargetMode="External" /><Relationship Type="http://schemas.openxmlformats.org/officeDocument/2006/relationships/hyperlink" Id="rId26" Target="https://cursor.com/blog/continually-improving-agent-harness" TargetMode="External" /><Relationship Type="http://schemas.openxmlformats.org/officeDocument/2006/relationships/hyperlink" Id="rId30" Target="https://cursor.com/blog/plan-mode" TargetMode="External" /><Relationship Type="http://schemas.openxmlformats.org/officeDocument/2006/relationships/hyperlink" Id="rId31" Target="https://cursor.com/blog/router" TargetMode="External" /><Relationship Type="http://schemas.openxmlformats.org/officeDocument/2006/relationships/hyperlink" Id="rId29" Target="https://cursor.com/blog/self-summarization" TargetMode="External" /><Relationship Type="http://schemas.openxmlformats.org/officeDocument/2006/relationships/hyperlink" Id="rId27" Target="https://cursor.com/blog/tab-rl" TargetMode="External" /><Relationship Type="http://schemas.openxmlformats.org/officeDocument/2006/relationships/hyperlink" Id="rId32" Target="https://cursor.com/help/models-and-usage/cursor-router" TargetMode="External" /><Relationship Type="http://schemas.openxmlformats.org/officeDocument/2006/relationships/hyperlink" Id="rId33" Target="https://www.datacamp.com/blog/composer-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Cursor Case Study: Michael’s Section (Policy + Interfaces)</dc:title>
  <dc:creator/>
  <cp:keywords/>
  <dcterms:created xsi:type="dcterms:W3CDTF">2026-10-20T19:52:41Z</dcterms:created>
  <dcterms:modified xsi:type="dcterms:W3CDTF">2026-10-20T19:52:41Z</dcterms:modified>
</cp:coreProperties>
</file>

<file path=docProps/custom.xml><?xml version="1.0" encoding="utf-8"?>
<Properties xmlns="http://schemas.openxmlformats.org/officeDocument/2006/custom-properties" xmlns:vt="http://schemas.openxmlformats.org/officeDocument/2006/docPropsVTypes"/>
</file>