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0E00" w14:textId="77777777" w:rsidR="00B266B8" w:rsidRPr="00B266B8" w:rsidRDefault="00B266B8" w:rsidP="00B266B8">
      <w:pPr>
        <w:rPr>
          <w:b/>
          <w:bCs/>
        </w:rPr>
      </w:pPr>
      <w:r w:rsidRPr="00B266B8">
        <w:rPr>
          <w:b/>
          <w:bCs/>
        </w:rPr>
        <w:t>DT502 Part B – Proof of Concept Screenshots</w:t>
      </w:r>
    </w:p>
    <w:p w14:paraId="5412DA42" w14:textId="6351642A" w:rsidR="00B266B8" w:rsidRPr="00B266B8" w:rsidRDefault="00B266B8" w:rsidP="00B266B8">
      <w:pPr>
        <w:rPr>
          <w:b/>
          <w:bCs/>
        </w:rPr>
      </w:pPr>
      <w:r w:rsidRPr="00B266B8">
        <w:drawing>
          <wp:anchor distT="0" distB="0" distL="114300" distR="114300" simplePos="0" relativeHeight="251658240" behindDoc="0" locked="0" layoutInCell="1" allowOverlap="1" wp14:anchorId="5D8FCDAB" wp14:editId="4791C385">
            <wp:simplePos x="0" y="0"/>
            <wp:positionH relativeFrom="column">
              <wp:posOffset>-285750</wp:posOffset>
            </wp:positionH>
            <wp:positionV relativeFrom="paragraph">
              <wp:posOffset>397510</wp:posOffset>
            </wp:positionV>
            <wp:extent cx="6470015" cy="3695700"/>
            <wp:effectExtent l="0" t="0" r="6985" b="0"/>
            <wp:wrapSquare wrapText="bothSides"/>
            <wp:docPr id="3667057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66B8">
        <w:rPr>
          <w:b/>
          <w:bCs/>
        </w:rPr>
        <w:t>Final dashboard</w:t>
      </w:r>
    </w:p>
    <w:p w14:paraId="77FEF193" w14:textId="77777777" w:rsidR="00B266B8" w:rsidRDefault="00B266B8" w:rsidP="00B266B8">
      <w:pPr>
        <w:rPr>
          <w:i/>
          <w:iCs/>
        </w:rPr>
      </w:pPr>
    </w:p>
    <w:p w14:paraId="68F6772B" w14:textId="447C84C9" w:rsidR="00B266B8" w:rsidRPr="00B266B8" w:rsidRDefault="00B266B8" w:rsidP="00B266B8">
      <w:r w:rsidRPr="00B266B8">
        <w:rPr>
          <w:i/>
          <w:iCs/>
        </w:rPr>
        <w:t>Power BI report showing caseload per worker and a table tracking the escalating case (CASE-0007) across both months, demonstrating the retained history.</w:t>
      </w:r>
    </w:p>
    <w:p w14:paraId="21C2BF54" w14:textId="77777777" w:rsidR="00B266B8" w:rsidRDefault="00B266B8" w:rsidP="00B266B8">
      <w:pPr>
        <w:rPr>
          <w:b/>
          <w:bCs/>
        </w:rPr>
      </w:pPr>
    </w:p>
    <w:p w14:paraId="7F0673BA" w14:textId="77777777" w:rsidR="00B266B8" w:rsidRDefault="00B266B8" w:rsidP="00B266B8">
      <w:pPr>
        <w:rPr>
          <w:b/>
          <w:bCs/>
        </w:rPr>
      </w:pPr>
    </w:p>
    <w:p w14:paraId="5337CC94" w14:textId="77777777" w:rsidR="00B266B8" w:rsidRDefault="00B266B8" w:rsidP="00B266B8">
      <w:pPr>
        <w:rPr>
          <w:b/>
          <w:bCs/>
        </w:rPr>
      </w:pPr>
    </w:p>
    <w:p w14:paraId="688349C2" w14:textId="77777777" w:rsidR="00B266B8" w:rsidRDefault="00B266B8" w:rsidP="00B266B8">
      <w:pPr>
        <w:rPr>
          <w:b/>
          <w:bCs/>
        </w:rPr>
      </w:pPr>
    </w:p>
    <w:p w14:paraId="2B511D2B" w14:textId="77777777" w:rsidR="00B266B8" w:rsidRDefault="00B266B8" w:rsidP="00B266B8">
      <w:pPr>
        <w:rPr>
          <w:b/>
          <w:bCs/>
        </w:rPr>
      </w:pPr>
    </w:p>
    <w:p w14:paraId="54D1B641" w14:textId="77777777" w:rsidR="00B266B8" w:rsidRDefault="00B266B8" w:rsidP="00B266B8">
      <w:pPr>
        <w:rPr>
          <w:b/>
          <w:bCs/>
        </w:rPr>
      </w:pPr>
    </w:p>
    <w:p w14:paraId="06D0A621" w14:textId="77777777" w:rsidR="00B266B8" w:rsidRDefault="00B266B8" w:rsidP="00B266B8">
      <w:pPr>
        <w:rPr>
          <w:b/>
          <w:bCs/>
        </w:rPr>
      </w:pPr>
    </w:p>
    <w:p w14:paraId="4E998010" w14:textId="77777777" w:rsidR="00B266B8" w:rsidRDefault="00B266B8" w:rsidP="00B266B8">
      <w:pPr>
        <w:rPr>
          <w:b/>
          <w:bCs/>
        </w:rPr>
      </w:pPr>
    </w:p>
    <w:p w14:paraId="3FE67A9F" w14:textId="77777777" w:rsidR="00B266B8" w:rsidRDefault="00B266B8" w:rsidP="00B266B8">
      <w:pPr>
        <w:rPr>
          <w:b/>
          <w:bCs/>
        </w:rPr>
      </w:pPr>
    </w:p>
    <w:p w14:paraId="42189508" w14:textId="77777777" w:rsidR="00B266B8" w:rsidRDefault="00B266B8" w:rsidP="00B266B8">
      <w:pPr>
        <w:rPr>
          <w:b/>
          <w:bCs/>
        </w:rPr>
      </w:pPr>
    </w:p>
    <w:p w14:paraId="3D147625" w14:textId="77777777" w:rsidR="00B266B8" w:rsidRDefault="00B266B8" w:rsidP="00B266B8">
      <w:pPr>
        <w:rPr>
          <w:b/>
          <w:bCs/>
        </w:rPr>
      </w:pPr>
    </w:p>
    <w:p w14:paraId="5246A87A" w14:textId="1A4347B0" w:rsidR="00B266B8" w:rsidRPr="00B266B8" w:rsidRDefault="00B266B8" w:rsidP="00B266B8">
      <w:pPr>
        <w:rPr>
          <w:b/>
          <w:bCs/>
        </w:rPr>
      </w:pPr>
      <w:r w:rsidRPr="00B266B8">
        <w:rPr>
          <w:b/>
          <w:bCs/>
        </w:rPr>
        <w:lastRenderedPageBreak/>
        <w:t>Build steps</w:t>
      </w:r>
    </w:p>
    <w:p w14:paraId="7BBA33D2" w14:textId="53E20541" w:rsidR="00B266B8" w:rsidRPr="00B266B8" w:rsidRDefault="00B266B8" w:rsidP="00B266B8">
      <w:r w:rsidRPr="00B266B8">
        <w:drawing>
          <wp:inline distT="0" distB="0" distL="0" distR="0" wp14:anchorId="70D1F701" wp14:editId="3F344904">
            <wp:extent cx="5486400" cy="5600700"/>
            <wp:effectExtent l="0" t="0" r="0" b="0"/>
            <wp:docPr id="1977426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6077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07E2" w14:textId="77777777" w:rsidR="00B266B8" w:rsidRPr="00B266B8" w:rsidRDefault="00B266B8" w:rsidP="00B266B8">
      <w:r w:rsidRPr="00B266B8">
        <w:rPr>
          <w:i/>
          <w:iCs/>
        </w:rPr>
        <w:t>Figure 1 – Creating the Data Lake Gen2 storage account, with hierarchical namespace enabled and anonymous access disabled, providing the foundation for the raw and curated layers.</w:t>
      </w:r>
    </w:p>
    <w:p w14:paraId="3F324809" w14:textId="42BADC46" w:rsidR="00B266B8" w:rsidRPr="00B266B8" w:rsidRDefault="00B266B8" w:rsidP="00B266B8">
      <w:r w:rsidRPr="00B266B8">
        <w:lastRenderedPageBreak/>
        <w:drawing>
          <wp:inline distT="0" distB="0" distL="0" distR="0" wp14:anchorId="41FDD20E" wp14:editId="3A254452">
            <wp:extent cx="5486400" cy="3276600"/>
            <wp:effectExtent l="0" t="0" r="0" b="0"/>
            <wp:docPr id="5949925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2862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606F" w14:textId="49C52A6E" w:rsidR="00B266B8" w:rsidRPr="00B266B8" w:rsidRDefault="00B266B8" w:rsidP="00B266B8">
      <w:r w:rsidRPr="00B266B8">
        <w:rPr>
          <w:i/>
          <w:iCs/>
        </w:rPr>
        <w:t>Figure 2 – The two monthly CSV extracts uploaded to the raw container, forming the bronze (raw) layer.</w:t>
      </w:r>
    </w:p>
    <w:p w14:paraId="013A29AA" w14:textId="3E906C1A" w:rsidR="00B266B8" w:rsidRPr="00B266B8" w:rsidRDefault="00B266B8" w:rsidP="00B266B8">
      <w:r w:rsidRPr="00B266B8">
        <w:lastRenderedPageBreak/>
        <w:drawing>
          <wp:inline distT="0" distB="0" distL="0" distR="0" wp14:anchorId="4170441E" wp14:editId="18B3A367">
            <wp:extent cx="3705225" cy="6400800"/>
            <wp:effectExtent l="0" t="0" r="9525" b="0"/>
            <wp:docPr id="13432180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0808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2019" w14:textId="77777777" w:rsidR="00B266B8" w:rsidRPr="00B266B8" w:rsidRDefault="00B266B8" w:rsidP="00B266B8">
      <w:r w:rsidRPr="00B266B8">
        <w:rPr>
          <w:i/>
          <w:iCs/>
        </w:rPr>
        <w:t>Figure 3 – The Synapse workspace configuration, the originally intended serving layer for the curated data.</w:t>
      </w:r>
    </w:p>
    <w:p w14:paraId="22A5218C" w14:textId="1D486354" w:rsidR="00B266B8" w:rsidRPr="00B266B8" w:rsidRDefault="00B266B8" w:rsidP="00B266B8">
      <w:r w:rsidRPr="00B266B8">
        <w:lastRenderedPageBreak/>
        <w:drawing>
          <wp:inline distT="0" distB="0" distL="0" distR="0" wp14:anchorId="0AF2155C" wp14:editId="4105F9AE">
            <wp:extent cx="4219575" cy="3686175"/>
            <wp:effectExtent l="0" t="0" r="9525" b="9525"/>
            <wp:docPr id="5874800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1490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BB42" w14:textId="77777777" w:rsidR="00B266B8" w:rsidRPr="00B266B8" w:rsidRDefault="00B266B8" w:rsidP="00B266B8">
      <w:r w:rsidRPr="00B266B8">
        <w:rPr>
          <w:i/>
          <w:iCs/>
        </w:rPr>
        <w:t>Figure 4 – The error preventing the Synapse workspace from being created, as the subscription is restricted from provisioning the required SQL server. Serving was therefore moved to Data Factory with a direct Power BI connection.</w:t>
      </w:r>
    </w:p>
    <w:p w14:paraId="3490A86F" w14:textId="6F488323" w:rsidR="00B266B8" w:rsidRPr="00B266B8" w:rsidRDefault="00B266B8" w:rsidP="00B266B8">
      <w:r w:rsidRPr="00B266B8">
        <w:lastRenderedPageBreak/>
        <w:drawing>
          <wp:inline distT="0" distB="0" distL="0" distR="0" wp14:anchorId="042A1177" wp14:editId="7840F6C9">
            <wp:extent cx="5486400" cy="4714875"/>
            <wp:effectExtent l="0" t="0" r="0" b="9525"/>
            <wp:docPr id="19394162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2536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772A" w14:textId="77777777" w:rsidR="00B266B8" w:rsidRPr="00B266B8" w:rsidRDefault="00B266B8" w:rsidP="00B266B8">
      <w:r w:rsidRPr="00B266B8">
        <w:rPr>
          <w:i/>
          <w:iCs/>
        </w:rPr>
        <w:t>Figure 5 – The copy pipeline configured in the Copy Data tool, set to read the CSV extracts from raw and write them to the curated container as a single Parquet file.</w:t>
      </w:r>
    </w:p>
    <w:p w14:paraId="3CDA575E" w14:textId="29462944" w:rsidR="00B266B8" w:rsidRPr="00B266B8" w:rsidRDefault="00B266B8" w:rsidP="00B266B8">
      <w:r w:rsidRPr="00B266B8">
        <w:lastRenderedPageBreak/>
        <w:drawing>
          <wp:inline distT="0" distB="0" distL="0" distR="0" wp14:anchorId="5CECA7B1" wp14:editId="6A7F1B46">
            <wp:extent cx="5486400" cy="5534025"/>
            <wp:effectExtent l="0" t="0" r="0" b="9525"/>
            <wp:docPr id="11940927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13652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8FD3" w14:textId="77777777" w:rsidR="00B266B8" w:rsidRPr="00B266B8" w:rsidRDefault="00B266B8" w:rsidP="00B266B8">
      <w:r w:rsidRPr="00B266B8">
        <w:rPr>
          <w:i/>
          <w:iCs/>
        </w:rPr>
        <w:t>Figure 6 – The deployment summary showing all stages, including the pipeline run, completing successfully.</w:t>
      </w:r>
    </w:p>
    <w:p w14:paraId="56D84534" w14:textId="5769973D" w:rsidR="00B266B8" w:rsidRPr="00B266B8" w:rsidRDefault="00B266B8" w:rsidP="00B266B8">
      <w:r w:rsidRPr="00B266B8">
        <w:lastRenderedPageBreak/>
        <w:drawing>
          <wp:inline distT="0" distB="0" distL="0" distR="0" wp14:anchorId="7DEA2A9B" wp14:editId="0CE8BB64">
            <wp:extent cx="5486400" cy="4410075"/>
            <wp:effectExtent l="0" t="0" r="0" b="9525"/>
            <wp:docPr id="4270245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09253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B488" w14:textId="44E96B46" w:rsidR="00B266B8" w:rsidRPr="00B266B8" w:rsidRDefault="00B266B8" w:rsidP="00B266B8">
      <w:r w:rsidRPr="00B266B8">
        <w:rPr>
          <w:i/>
          <w:iCs/>
        </w:rPr>
        <w:t>Figure 7 – The deployed pipeline in the authoring canvas</w:t>
      </w:r>
      <w:r>
        <w:rPr>
          <w:i/>
          <w:iCs/>
        </w:rPr>
        <w:t>.</w:t>
      </w:r>
    </w:p>
    <w:p w14:paraId="57919AAC" w14:textId="4F070902" w:rsidR="00B266B8" w:rsidRPr="00B266B8" w:rsidRDefault="00B266B8" w:rsidP="00B266B8">
      <w:r w:rsidRPr="00B266B8">
        <w:lastRenderedPageBreak/>
        <w:drawing>
          <wp:inline distT="0" distB="0" distL="0" distR="0" wp14:anchorId="1B717F70" wp14:editId="5E3915D2">
            <wp:extent cx="5486400" cy="6219825"/>
            <wp:effectExtent l="0" t="0" r="0" b="9525"/>
            <wp:docPr id="14256904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8369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AD74" w14:textId="77777777" w:rsidR="00B266B8" w:rsidRPr="00B266B8" w:rsidRDefault="00B266B8" w:rsidP="00B266B8">
      <w:r w:rsidRPr="00B266B8">
        <w:rPr>
          <w:i/>
          <w:iCs/>
        </w:rPr>
        <w:t>Figure 8 – The properties of the resulting Parquet file in the curated container, confirming the curated layer was populated and the data is encrypted at rest.</w:t>
      </w:r>
    </w:p>
    <w:p w14:paraId="5DF5DD02" w14:textId="5B998313" w:rsidR="00B266B8" w:rsidRPr="00B266B8" w:rsidRDefault="00B266B8" w:rsidP="00B266B8">
      <w:r w:rsidRPr="00B266B8">
        <w:lastRenderedPageBreak/>
        <w:drawing>
          <wp:inline distT="0" distB="0" distL="0" distR="0" wp14:anchorId="6C329A5E" wp14:editId="7A103A4D">
            <wp:extent cx="5029200" cy="2219325"/>
            <wp:effectExtent l="0" t="0" r="0" b="9525"/>
            <wp:docPr id="12626751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45946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7376" w14:textId="77777777" w:rsidR="00B266B8" w:rsidRPr="00B266B8" w:rsidRDefault="00B266B8" w:rsidP="00B266B8">
      <w:r w:rsidRPr="00B266B8">
        <w:rPr>
          <w:i/>
          <w:iCs/>
        </w:rPr>
        <w:t>Figure 9 – The authentication error encountered when first connecting Power BI, resolved by switching to account-key access.</w:t>
      </w:r>
    </w:p>
    <w:p w14:paraId="105658A0" w14:textId="6D092AE1" w:rsidR="00B266B8" w:rsidRPr="00B266B8" w:rsidRDefault="00B266B8" w:rsidP="00B266B8">
      <w:r w:rsidRPr="00B266B8">
        <w:drawing>
          <wp:inline distT="0" distB="0" distL="0" distR="0" wp14:anchorId="6C58E834" wp14:editId="06427312">
            <wp:extent cx="5486400" cy="3190875"/>
            <wp:effectExtent l="0" t="0" r="0" b="9525"/>
            <wp:docPr id="821714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76965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B509" w14:textId="77777777" w:rsidR="00B266B8" w:rsidRPr="00B266B8" w:rsidRDefault="00B266B8" w:rsidP="00B266B8">
      <w:r w:rsidRPr="00B266B8">
        <w:rPr>
          <w:i/>
          <w:iCs/>
        </w:rPr>
        <w:t>Figure 10 – The curated data loaded into Power Query, showing all columns with correct data types and both monthly snapshots present, including the same case appearing in both months.</w:t>
      </w:r>
    </w:p>
    <w:p w14:paraId="6BD40FF2" w14:textId="77777777" w:rsidR="00B266B8" w:rsidRDefault="00B266B8"/>
    <w:sectPr w:rsidR="00B266B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6C72" w14:textId="77777777" w:rsidR="00851616" w:rsidRDefault="00851616" w:rsidP="00B266B8">
      <w:pPr>
        <w:spacing w:after="0" w:line="240" w:lineRule="auto"/>
      </w:pPr>
      <w:r>
        <w:separator/>
      </w:r>
    </w:p>
  </w:endnote>
  <w:endnote w:type="continuationSeparator" w:id="0">
    <w:p w14:paraId="21FFC7C0" w14:textId="77777777" w:rsidR="00851616" w:rsidRDefault="00851616" w:rsidP="00B26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2138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7B941D" w14:textId="116777A6" w:rsidR="00B266B8" w:rsidRDefault="00B266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C85F60" w14:textId="77777777" w:rsidR="00B266B8" w:rsidRDefault="00B26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5252" w14:textId="77777777" w:rsidR="00851616" w:rsidRDefault="00851616" w:rsidP="00B266B8">
      <w:pPr>
        <w:spacing w:after="0" w:line="240" w:lineRule="auto"/>
      </w:pPr>
      <w:r>
        <w:separator/>
      </w:r>
    </w:p>
  </w:footnote>
  <w:footnote w:type="continuationSeparator" w:id="0">
    <w:p w14:paraId="5D1A963A" w14:textId="77777777" w:rsidR="00851616" w:rsidRDefault="00851616" w:rsidP="00B266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B8"/>
    <w:rsid w:val="008353A1"/>
    <w:rsid w:val="00851616"/>
    <w:rsid w:val="00B2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98DC"/>
  <w15:chartTrackingRefBased/>
  <w15:docId w15:val="{628087BA-2CAA-4E26-AC50-635C91AF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6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6B8"/>
  </w:style>
  <w:style w:type="paragraph" w:styleId="Footer">
    <w:name w:val="footer"/>
    <w:basedOn w:val="Normal"/>
    <w:link w:val="FooterChar"/>
    <w:uiPriority w:val="99"/>
    <w:unhideWhenUsed/>
    <w:rsid w:val="00B26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Holder</dc:creator>
  <cp:keywords/>
  <dc:description/>
  <cp:lastModifiedBy>George Holder</cp:lastModifiedBy>
  <cp:revision>1</cp:revision>
  <dcterms:created xsi:type="dcterms:W3CDTF">2026-06-08T12:43:00Z</dcterms:created>
  <dcterms:modified xsi:type="dcterms:W3CDTF">2026-06-08T12:45:00Z</dcterms:modified>
</cp:coreProperties>
</file>