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800"/>
      </w:pPr>
      <w:r>
        <w:t xml:space="preserve"/>
      </w:r>
    </w:p>
    <w:p>
      <w:pPr>
        <w:spacing w:after="120" w:before="0"/>
        <w:jc w:val="center"/>
      </w:pPr>
      <w:r>
        <w:rPr>
          <w:rFonts w:ascii="Calibri" w:cs="Calibri" w:eastAsia="Calibri" w:hAnsi="Calibri"/>
          <w:b/>
          <w:bCs/>
          <w:color w:val="1B3A5C"/>
          <w:sz w:val="64"/>
          <w:szCs w:val="64"/>
        </w:rPr>
        <w:t xml:space="preserve">META PLATFORMS</w:t>
      </w:r>
    </w:p>
    <w:p>
      <w:pPr>
        <w:spacing w:after="80" w:before="0"/>
        <w:jc w:val="center"/>
      </w:pPr>
      <w:r>
        <w:rPr>
          <w:rFonts w:ascii="Calibri" w:cs="Calibri" w:eastAsia="Calibri" w:hAnsi="Calibri"/>
          <w:b/>
          <w:bCs/>
          <w:color w:val="2E5F8A"/>
          <w:sz w:val="40"/>
          <w:szCs w:val="40"/>
        </w:rPr>
        <w:t xml:space="preserve">INVESTMENT MEMO  v9</w:t>
      </w:r>
    </w:p>
    <w:p>
      <w:pPr>
        <w:pBdr>
          <w:bottom w:val="single" w:color="C8A84B" w:sz="6" w:space="1"/>
        </w:pBdr>
        <w:spacing w:after="80" w:before="80"/>
      </w:pPr>
      <w:r>
        <w:t xml:space="preserve"/>
      </w:r>
    </w:p>
    <w:p>
      <w:pPr>
        <w:spacing w:after="80" w:before="80"/>
      </w:pPr>
      <w:r>
        <w:t xml:space="preserve"/>
      </w:r>
    </w:p>
    <w:p>
      <w:pPr>
        <w:spacing w:after="80" w:before="0"/>
        <w:jc w:val="center"/>
      </w:pPr>
      <w:r>
        <w:rPr>
          <w:rFonts w:ascii="Calibri" w:cs="Calibri" w:eastAsia="Calibri" w:hAnsi="Calibri"/>
          <w:i/>
          <w:iCs/>
          <w:color w:val="666666"/>
          <w:sz w:val="28"/>
          <w:szCs w:val="28"/>
        </w:rPr>
        <w:t xml:space="preserve">CAPEX Cycle as Core Thesis | Incrementum</w:t>
      </w:r>
    </w:p>
    <w:p>
      <w:pPr>
        <w:spacing w:after="400" w:before="400"/>
      </w:pPr>
      <w:r>
        <w:t xml:space="preserve"/>
      </w:r>
    </w:p>
    <w:p>
      <w:pPr>
        <w:jc w:val="center"/>
      </w:pPr>
      <w:r>
        <w:rPr>
          <w:rFonts w:ascii="Calibri" w:cs="Calibri" w:eastAsia="Calibri" w:hAnsi="Calibri"/>
          <w:b/>
          <w:bCs/>
          <w:color w:val="888888"/>
          <w:sz w:val="22"/>
          <w:szCs w:val="22"/>
        </w:rPr>
        <w:t xml:space="preserve">Date</w:t>
      </w:r>
    </w:p>
    <w:p>
      <w:pPr>
        <w:spacing w:after="120" w:before="0"/>
        <w:jc w:val="center"/>
      </w:pPr>
      <w:r>
        <w:rPr>
          <w:rFonts w:ascii="Calibri" w:cs="Calibri" w:eastAsia="Calibri" w:hAnsi="Calibri"/>
          <w:color w:val="1A1A1A"/>
          <w:sz w:val="26"/>
          <w:szCs w:val="26"/>
        </w:rPr>
        <w:t xml:space="preserve">2026-05-04</w:t>
      </w:r>
    </w:p>
    <w:p>
      <w:pPr>
        <w:jc w:val="center"/>
      </w:pPr>
      <w:r>
        <w:rPr>
          <w:rFonts w:ascii="Calibri" w:cs="Calibri" w:eastAsia="Calibri" w:hAnsi="Calibri"/>
          <w:b/>
          <w:bCs/>
          <w:color w:val="888888"/>
          <w:sz w:val="22"/>
          <w:szCs w:val="22"/>
        </w:rPr>
        <w:t xml:space="preserve">Prepared by</w:t>
      </w:r>
    </w:p>
    <w:p>
      <w:pPr>
        <w:spacing w:after="120" w:before="0"/>
        <w:jc w:val="center"/>
      </w:pPr>
      <w:r>
        <w:rPr>
          <w:rFonts w:ascii="Calibri" w:cs="Calibri" w:eastAsia="Calibri" w:hAnsi="Calibri"/>
          <w:color w:val="1A1A1A"/>
          <w:sz w:val="26"/>
          <w:szCs w:val="26"/>
        </w:rPr>
        <w:t xml:space="preserve">Incrementum Analista</w:t>
      </w:r>
    </w:p>
    <w:p>
      <w:pPr>
        <w:jc w:val="center"/>
      </w:pPr>
      <w:r>
        <w:rPr>
          <w:rFonts w:ascii="Calibri" w:cs="Calibri" w:eastAsia="Calibri" w:hAnsi="Calibri"/>
          <w:b/>
          <w:bCs/>
          <w:color w:val="888888"/>
          <w:sz w:val="22"/>
          <w:szCs w:val="22"/>
        </w:rPr>
        <w:t xml:space="preserve">Classification</w:t>
      </w:r>
    </w:p>
    <w:p>
      <w:pPr>
        <w:spacing w:after="120" w:before="0"/>
        <w:jc w:val="center"/>
      </w:pPr>
      <w:r>
        <w:rPr>
          <w:rFonts w:ascii="Calibri" w:cs="Calibri" w:eastAsia="Calibri" w:hAnsi="Calibri"/>
          <w:color w:val="1A1A1A"/>
          <w:sz w:val="26"/>
          <w:szCs w:val="26"/>
        </w:rPr>
        <w:t xml:space="preserve">Internal — Eduardo Dias</w:t>
      </w:r>
    </w:p>
    <w:p>
      <w:pPr>
        <w:spacing w:after="400" w:before="400"/>
      </w:pPr>
      <w:r>
        <w:t xml:space="preserve"/>
      </w:r>
    </w:p>
    <w:p>
      <w:pPr>
        <w:pBdr>
          <w:top w:val="single" w:color="1B3A5C" w:sz="1"/>
          <w:left w:val="single" w:color="1B3A5C" w:sz="1"/>
          <w:bottom w:val="single" w:color="1B3A5C" w:sz="1"/>
          <w:right w:val="single" w:color="1B3A5C" w:sz="1"/>
        </w:pBdr>
        <w:shd w:fill="E8EFF6" w:val="clear"/>
        <w:spacing w:after="100" w:before="100"/>
        <w:ind w:left="400" w:right="400"/>
        <w:jc w:val="center"/>
      </w:pPr>
      <w:r>
        <w:rPr>
          <w:rFonts w:ascii="Calibri" w:cs="Calibri" w:eastAsia="Calibri" w:hAnsi="Calibri"/>
          <w:b/>
          <w:bCs/>
          <w:color w:val="2E5F8A"/>
          <w:sz w:val="20"/>
          <w:szCs w:val="20"/>
        </w:rPr>
        <w:t xml:space="preserve">Share Price (2026-05-01): US$608.75  |  Market Cap: ~US$1,551bn  |  Rating: HIGH CONVICTION LONG</w:t>
      </w:r>
    </w:p>
    <w:p>
      <w:pPr>
        <w:pStyle w:val="Heading1"/>
        <w:pageBreakBefore/>
        <w:shd w:fill="1B3A5C" w:val="clear"/>
        <w:spacing w:after="160" w:before="300"/>
      </w:pPr>
      <w:r>
        <w:rPr>
          <w:rFonts w:ascii="Calibri" w:cs="Calibri" w:eastAsia="Calibri" w:hAnsi="Calibri"/>
          <w:b/>
          <w:bCs/>
          <w:color w:val="FFFFFF"/>
          <w:sz w:val="30"/>
          <w:szCs w:val="30"/>
        </w:rPr>
        <w:t xml:space="preserve">1. EXECUTIVE SUMMARY</w:t>
      </w:r>
    </w:p>
    <w:p>
      <w:pPr>
        <w:pStyle w:val="Heading2"/>
        <w:pBdr>
          <w:bottom w:val="single" w:color="2E5F8A" w:sz="4" w:space="2"/>
        </w:pBdr>
        <w:spacing w:after="100" w:before="220"/>
      </w:pPr>
      <w:r>
        <w:rPr>
          <w:rFonts w:ascii="Calibri" w:cs="Calibri" w:eastAsia="Calibri" w:hAnsi="Calibri"/>
          <w:b/>
          <w:bCs/>
          <w:color w:val="1B3A5C"/>
          <w:sz w:val="24"/>
          <w:szCs w:val="24"/>
        </w:rPr>
        <w:t xml:space="preserve">Core Thesis</w:t>
      </w:r>
    </w:p>
    <w:p>
      <w:pPr>
        <w:spacing w:after="80" w:before="80" w:line="280"/>
        <w:jc w:val="left"/>
      </w:pPr>
      <w:r>
        <w:rPr>
          <w:rFonts w:ascii="Calibri" w:cs="Calibri" w:eastAsia="Calibri" w:hAnsi="Calibri"/>
          <w:b w:val="false"/>
          <w:bCs w:val="false"/>
          <w:i w:val="false"/>
          <w:iCs w:val="false"/>
          <w:color w:val="1A1A1A"/>
          <w:sz w:val="22"/>
          <w:szCs w:val="22"/>
        </w:rPr>
        <w:t xml:space="preserve">META Platforms is a high-conviction long at US$608.75 (2026-05-01 [IR]) driven by three pillars:</w:t>
      </w:r>
    </w:p>
    <w:p>
      <w:pPr>
        <w:spacing w:after="40" w:before="40"/>
      </w:pPr>
      <w:r>
        <w:t xml:space="preserve"/>
      </w:r>
    </w:p>
    <w:p>
      <w:pPr>
        <w:pStyle w:val="ListParagraph"/>
        <w:numPr>
          <w:ilvl w:val="0"/>
          <w:numId w:val="2"/>
        </w:numPr>
        <w:spacing w:after="60" w:before="60" w:line="280"/>
      </w:pPr>
      <w:r>
        <w:rPr>
          <w:rFonts w:ascii="Calibri" w:cs="Calibri" w:eastAsia="Calibri" w:hAnsi="Calibri"/>
          <w:color w:val="1A1A1A"/>
          <w:sz w:val="22"/>
          <w:szCs w:val="22"/>
        </w:rPr>
        <w:t xml:space="preserve">(i) Advertising resilience and structural market share gains — 1Q26 revenue +33% YoY demonstrates the advertising engine is growing even during peak CAPEX spend [IR];</w:t>
      </w:r>
    </w:p>
    <w:p>
      <w:pPr>
        <w:pStyle w:val="ListParagraph"/>
        <w:numPr>
          <w:ilvl w:val="0"/>
          <w:numId w:val="2"/>
        </w:numPr>
        <w:spacing w:after="60" w:before="60" w:line="280"/>
      </w:pPr>
      <w:r>
        <w:rPr>
          <w:rFonts w:ascii="Calibri" w:cs="Calibri" w:eastAsia="Calibri" w:hAnsi="Calibri"/>
          <w:color w:val="1A1A1A"/>
          <w:sz w:val="22"/>
          <w:szCs w:val="22"/>
        </w:rPr>
        <w:t xml:space="preserve">(ii) CAPEX-as-deferred-earnings-power — the AI infrastructure buildout (US$125-145bn guided 2026 [IR]) is a moat construction project, not value destruction. FCF is in a deliberate trough; earnings power normalizes in 2027-2028 as CAPEX moderates;</w:t>
      </w:r>
    </w:p>
    <w:p>
      <w:pPr>
        <w:pStyle w:val="ListParagraph"/>
        <w:numPr>
          <w:ilvl w:val="0"/>
          <w:numId w:val="2"/>
        </w:numPr>
        <w:spacing w:after="60" w:before="60" w:line="280"/>
      </w:pPr>
      <w:r>
        <w:rPr>
          <w:rFonts w:ascii="Calibri" w:cs="Calibri" w:eastAsia="Calibri" w:hAnsi="Calibri"/>
          <w:color w:val="1A1A1A"/>
          <w:sz w:val="22"/>
          <w:szCs w:val="22"/>
        </w:rPr>
        <w:t xml:space="preserve">(iii) Valuation discount — current pricing at ~19-20x 2026E P/E is a discount to META's own history and to large-cap tech peers, with zero optionality premium for FCF normalization or AI monetization.</w:t>
      </w:r>
    </w:p>
    <w:p>
      <w:pPr>
        <w:spacing w:after="80" w:before="80"/>
      </w:pPr>
      <w:r>
        <w:t xml:space="preserve"/>
      </w:r>
    </w:p>
    <w:p>
      <w:pPr>
        <w:pStyle w:val="Heading2"/>
        <w:pBdr>
          <w:bottom w:val="single" w:color="2E5F8A" w:sz="4" w:space="2"/>
        </w:pBdr>
        <w:spacing w:after="100" w:before="220"/>
      </w:pPr>
      <w:r>
        <w:rPr>
          <w:rFonts w:ascii="Calibri" w:cs="Calibri" w:eastAsia="Calibri" w:hAnsi="Calibri"/>
          <w:b/>
          <w:bCs/>
          <w:color w:val="1B3A5C"/>
          <w:sz w:val="24"/>
          <w:szCs w:val="24"/>
        </w:rPr>
        <w:t xml:space="preserve">Why Now — Timing Rationale</w:t>
      </w:r>
    </w:p>
    <w:p>
      <w:pPr>
        <w:spacing w:after="80" w:before="80" w:line="280"/>
        <w:jc w:val="left"/>
      </w:pPr>
      <w:r>
        <w:rPr>
          <w:rFonts w:ascii="Calibri" w:cs="Calibri" w:eastAsia="Calibri" w:hAnsi="Calibri"/>
          <w:b w:val="false"/>
          <w:bCs w:val="false"/>
          <w:i w:val="false"/>
          <w:iCs w:val="false"/>
          <w:color w:val="1A1A1A"/>
          <w:sz w:val="22"/>
          <w:szCs w:val="22"/>
        </w:rPr>
        <w:t xml:space="preserve">The market is pricing CAPEX guidance as a risk, not a signal. FCF troughs in 2026 as D&amp;A steps up materially. This mirrors the 2013-2014 mobile transition — the market penalised META's investment period and re-rated sharply once monetization inflected. The key difference today: META is not building infrastructure hoping to monetize. It is building infrastructure to defend and extend an existing advertising moat that is already growing at +33% YoY while the infrastructure is being built. The question is not "will it pay off?" — it is "when?" The 2027-2028 D&amp;A maturation and FCF normalization provides the answer.</w:t>
      </w:r>
    </w:p>
    <w:p>
      <w:pPr>
        <w:spacing w:after="80" w:before="80"/>
      </w:pPr>
      <w:r>
        <w:t xml:space="preserve"/>
      </w:r>
    </w:p>
    <w:p>
      <w:pPr>
        <w:pStyle w:val="Heading2"/>
        <w:pBdr>
          <w:bottom w:val="single" w:color="2E5F8A" w:sz="4" w:space="2"/>
        </w:pBdr>
        <w:spacing w:after="100" w:before="220"/>
      </w:pPr>
      <w:r>
        <w:rPr>
          <w:rFonts w:ascii="Calibri" w:cs="Calibri" w:eastAsia="Calibri" w:hAnsi="Calibri"/>
          <w:b/>
          <w:bCs/>
          <w:color w:val="1B3A5C"/>
          <w:sz w:val="24"/>
          <w:szCs w:val="24"/>
        </w:rPr>
        <w:t xml:space="preserve">Current Position &amp; Sizing</w:t>
      </w:r>
    </w:p>
    <w:p>
      <w:pPr>
        <w:spacing w:after="80" w:before="80" w:line="280"/>
        <w:jc w:val="left"/>
      </w:pPr>
      <w:r>
        <w:rPr>
          <w:rFonts w:ascii="Calibri" w:cs="Calibri" w:eastAsia="Calibri" w:hAnsi="Calibri"/>
          <w:b/>
          <w:bCs/>
          <w:color w:val="1A1A1A"/>
          <w:sz w:val="22"/>
          <w:szCs w:val="22"/>
        </w:rPr>
        <w:t xml:space="preserve">Eduardo's position (2026-05-01): </w:t>
      </w:r>
      <w:r>
        <w:rPr>
          <w:rFonts w:ascii="Calibri" w:cs="Calibri" w:eastAsia="Calibri" w:hAnsi="Calibri"/>
          <w:color w:val="1A1A1A"/>
          <w:sz w:val="22"/>
          <w:szCs w:val="22"/>
        </w:rPr>
        <w:t xml:space="preserve">8 shares equity @ ~US$609 = ~US$4,872 (~10.6% NAV, portfolio US$45,886) [state.md 2026-05-01]</w:t>
      </w:r>
    </w:p>
    <w:p>
      <w:pPr>
        <w:spacing w:after="80" w:before="80" w:line="280"/>
        <w:jc w:val="left"/>
      </w:pPr>
      <w:r>
        <w:rPr>
          <w:rFonts w:ascii="Calibri" w:cs="Calibri" w:eastAsia="Calibri" w:hAnsi="Calibri"/>
          <w:b/>
          <w:bCs/>
          <w:color w:val="1A1A1A"/>
          <w:sz w:val="22"/>
          <w:szCs w:val="22"/>
        </w:rPr>
        <w:t xml:space="preserve">Resize trigger: </w:t>
      </w:r>
      <w:r>
        <w:rPr>
          <w:rFonts w:ascii="Calibri" w:cs="Calibri" w:eastAsia="Calibri" w:hAnsi="Calibri"/>
          <w:color w:val="1A1A1A"/>
          <w:sz w:val="22"/>
          <w:szCs w:val="22"/>
        </w:rPr>
        <w:t xml:space="preserve">≥US$60bn revenue in 2Q26 (reportable 2026-07-29). Confirmation supports adding to &gt;12% NAV.</w:t>
      </w:r>
    </w:p>
    <w:p>
      <w:pPr>
        <w:spacing w:after="100" w:before="100"/>
      </w:pPr>
      <w:r>
        <w:t xml:space="preserve"/>
      </w:r>
    </w:p>
    <w:p>
      <w:pPr>
        <w:pStyle w:val="Heading2"/>
        <w:pBdr>
          <w:bottom w:val="single" w:color="2E5F8A" w:sz="4" w:space="2"/>
        </w:pBdr>
        <w:spacing w:after="100" w:before="220"/>
      </w:pPr>
      <w:r>
        <w:rPr>
          <w:rFonts w:ascii="Calibri" w:cs="Calibri" w:eastAsia="Calibri" w:hAnsi="Calibri"/>
          <w:b/>
          <w:bCs/>
          <w:color w:val="1B3A5C"/>
          <w:sz w:val="24"/>
          <w:szCs w:val="24"/>
        </w:rPr>
        <w:t xml:space="preserve">Scenario Summary</w:t>
      </w:r>
    </w:p>
    <w:p>
      <w:pPr>
        <w:spacing w:after="80" w:before="80" w:line="280"/>
        <w:jc w:val="left"/>
      </w:pPr>
      <w:r>
        <w:rPr>
          <w:rFonts w:ascii="Calibri" w:cs="Calibri" w:eastAsia="Calibri" w:hAnsi="Calibri"/>
          <w:b w:val="false"/>
          <w:bCs w:val="false"/>
          <w:i/>
          <w:iCs/>
          <w:color w:val="555555"/>
          <w:sz w:val="20"/>
          <w:szCs w:val="20"/>
        </w:rPr>
        <w:t xml:space="preserve">All projections Incrementum est. | IRR calculated over 2-year holding period to 2028E.</w:t>
      </w:r>
    </w:p>
    <w:p>
      <w:pPr>
        <w:spacing w:after="60" w:before="60"/>
      </w:pPr>
      <w:r>
        <w:t xml:space="preserve"/>
      </w:r>
    </w:p>
    <w:tbl>
      <w:tblPr>
        <w:tblW w:type="dxa" w:w="7660"/>
        <w:tblBorders>
          <w:top w:val="single" w:color="auto" w:sz="4"/>
          <w:left w:val="single" w:color="auto" w:sz="4"/>
          <w:bottom w:val="single" w:color="auto" w:sz="4"/>
          <w:right w:val="single" w:color="auto" w:sz="4"/>
          <w:insideH w:val="single" w:color="auto" w:sz="4"/>
          <w:insideV w:val="single" w:color="auto" w:sz="4"/>
        </w:tblBorders>
      </w:tblPr>
      <w:tblGrid>
        <w:gridCol w:w="1050"/>
        <w:gridCol w:w="1100"/>
        <w:gridCol w:w="1250"/>
        <w:gridCol w:w="1000"/>
        <w:gridCol w:w="1050"/>
        <w:gridCol w:w="1160"/>
        <w:gridCol w:w="1050"/>
      </w:tblGrid>
      <w:tr>
        <w:trPr>
          <w:tblHeader/>
        </w:trPr>
        <w:tc>
          <w:tcPr>
            <w:tcW w:type="dxa" w:w="105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FFFFFF"/>
                <w:sz w:val="20"/>
                <w:szCs w:val="20"/>
              </w:rPr>
              <w:t xml:space="preserve">Scenario</w:t>
            </w:r>
          </w:p>
        </w:tc>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FFFFFF"/>
                <w:sz w:val="20"/>
                <w:szCs w:val="20"/>
              </w:rPr>
              <w:t xml:space="preserve">Rev CAGR (5yr)</w:t>
            </w:r>
          </w:p>
        </w:tc>
        <w:tc>
          <w:tcPr>
            <w:tcW w:type="dxa" w:w="125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FFFFFF"/>
                <w:sz w:val="20"/>
                <w:szCs w:val="20"/>
              </w:rPr>
              <w:t xml:space="preserve">EBIT Margin 2028E</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FFFFFF"/>
                <w:sz w:val="20"/>
                <w:szCs w:val="20"/>
              </w:rPr>
              <w:t xml:space="preserve">EPS 2028E</w:t>
            </w:r>
          </w:p>
        </w:tc>
        <w:tc>
          <w:tcPr>
            <w:tcW w:type="dxa" w:w="105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FFFFFF"/>
                <w:sz w:val="20"/>
                <w:szCs w:val="20"/>
              </w:rPr>
              <w:t xml:space="preserve">P/E Multiple</w:t>
            </w:r>
          </w:p>
        </w:tc>
        <w:tc>
          <w:tcPr>
            <w:tcW w:type="dxa" w:w="1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FFFFFF"/>
                <w:sz w:val="20"/>
                <w:szCs w:val="20"/>
              </w:rPr>
              <w:t xml:space="preserve">Implied Price</w:t>
            </w:r>
          </w:p>
        </w:tc>
        <w:tc>
          <w:tcPr>
            <w:tcW w:type="dxa" w:w="105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FFFFFF"/>
                <w:sz w:val="20"/>
                <w:szCs w:val="20"/>
              </w:rPr>
              <w:t xml:space="preserve">IRR vs US$609</w:t>
            </w:r>
          </w:p>
        </w:tc>
      </w:tr>
      <w:tr>
        <w:trPr>
          <w:tblHeader w:val="false"/>
        </w:trPr>
        <w:tc>
          <w:tcPr>
            <w:tcW w:type="dxa" w:w="105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Bear D&amp;A trap</w:t>
            </w:r>
          </w:p>
        </w:tc>
        <w:tc>
          <w:tcPr>
            <w:tcW w:type="dxa" w:w="11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+12%</w:t>
            </w:r>
          </w:p>
        </w:tc>
        <w:tc>
          <w:tcPr>
            <w:tcW w:type="dxa" w:w="125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32%</w:t>
            </w:r>
          </w:p>
        </w:tc>
        <w:tc>
          <w:tcPr>
            <w:tcW w:type="dxa" w:w="10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~US$24</w:t>
            </w:r>
          </w:p>
        </w:tc>
        <w:tc>
          <w:tcPr>
            <w:tcW w:type="dxa" w:w="105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15x</w:t>
            </w:r>
          </w:p>
        </w:tc>
        <w:tc>
          <w:tcPr>
            <w:tcW w:type="dxa" w:w="116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~US$360</w:t>
            </w:r>
          </w:p>
        </w:tc>
        <w:tc>
          <w:tcPr>
            <w:tcW w:type="dxa" w:w="105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-22%/yr</w:t>
            </w:r>
          </w:p>
        </w:tc>
      </w:tr>
      <w:tr>
        <w:trPr>
          <w:tblHeader w:val="false"/>
        </w:trPr>
        <w:tc>
          <w:tcPr>
            <w:tcW w:type="dxa" w:w="1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Bear base D&amp;A</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+14%</w:t>
            </w:r>
          </w:p>
        </w:tc>
        <w:tc>
          <w:tcPr>
            <w:tcW w:type="dxa" w:w="1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36%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~US$28</w:t>
            </w:r>
          </w:p>
        </w:tc>
        <w:tc>
          <w:tcPr>
            <w:tcW w:type="dxa" w:w="1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16x</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~US$448</w:t>
            </w:r>
          </w:p>
        </w:tc>
        <w:tc>
          <w:tcPr>
            <w:tcW w:type="dxa" w:w="1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-14%/yr</w:t>
            </w:r>
          </w:p>
        </w:tc>
      </w:tr>
      <w:tr>
        <w:trPr>
          <w:tblHeader w:val="false"/>
        </w:trPr>
        <w:tc>
          <w:tcPr>
            <w:tcW w:type="dxa" w:w="1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Base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+20%</w:t>
            </w:r>
          </w:p>
        </w:tc>
        <w:tc>
          <w:tcPr>
            <w:tcW w:type="dxa" w:w="1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40%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~US$34</w:t>
            </w:r>
          </w:p>
        </w:tc>
        <w:tc>
          <w:tcPr>
            <w:tcW w:type="dxa" w:w="1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22x</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~US$748</w:t>
            </w:r>
          </w:p>
        </w:tc>
        <w:tc>
          <w:tcPr>
            <w:tcW w:type="dxa" w:w="1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+11%/yr</w:t>
            </w:r>
          </w:p>
        </w:tc>
      </w:tr>
      <w:tr>
        <w:trPr>
          <w:tblHeader w:val="false"/>
        </w:trPr>
        <w:tc>
          <w:tcPr>
            <w:tcW w:type="dxa" w:w="105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Bull</w:t>
            </w:r>
          </w:p>
        </w:tc>
        <w:tc>
          <w:tcPr>
            <w:tcW w:type="dxa" w:w="11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+26%</w:t>
            </w:r>
          </w:p>
        </w:tc>
        <w:tc>
          <w:tcPr>
            <w:tcW w:type="dxa" w:w="125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44%</w:t>
            </w:r>
          </w:p>
        </w:tc>
        <w:tc>
          <w:tcPr>
            <w:tcW w:type="dxa" w:w="10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~US$43</w:t>
            </w:r>
          </w:p>
        </w:tc>
        <w:tc>
          <w:tcPr>
            <w:tcW w:type="dxa" w:w="105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27x</w:t>
            </w:r>
          </w:p>
        </w:tc>
        <w:tc>
          <w:tcPr>
            <w:tcW w:type="dxa" w:w="116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~US$1,161</w:t>
            </w:r>
          </w:p>
        </w:tc>
        <w:tc>
          <w:tcPr>
            <w:tcW w:type="dxa" w:w="105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+38%/yr</w:t>
            </w:r>
          </w:p>
        </w:tc>
      </w:tr>
    </w:tbl>
    <w:p>
      <w:pPr>
        <w:spacing w:after="120" w:before="40"/>
      </w:pPr>
      <w:r>
        <w:rPr>
          <w:rFonts w:ascii="Calibri" w:cs="Calibri" w:eastAsia="Calibri" w:hAnsi="Calibri"/>
          <w:i/>
          <w:iCs/>
          <w:color w:val="666666"/>
          <w:sz w:val="18"/>
          <w:szCs w:val="18"/>
        </w:rPr>
        <w:t xml:space="preserve">Source: Incrementum est. | 2-year horizon to 2028E applied to EPS with D&amp;A sensitivity. See Section 6 for full model.</w:t>
      </w:r>
    </w:p>
    <w:p>
      <w:pPr>
        <w:spacing w:after="80" w:before="80"/>
      </w:pPr>
      <w:r>
        <w:t xml:space="preserve"/>
      </w:r>
    </w:p>
    <w:p>
      <w:pPr>
        <w:pBdr>
          <w:top w:val="single" w:color="2E5F8A" w:sz="1"/>
          <w:left w:val="single" w:color="1B3A5C" w:sz="12"/>
          <w:bottom w:val="single" w:color="2E5F8A" w:sz="1"/>
          <w:right w:val="single" w:color="2E5F8A" w:sz="1"/>
        </w:pBdr>
        <w:shd w:fill="E8EFF6" w:val="clear"/>
        <w:spacing w:after="100" w:before="100"/>
        <w:ind w:left="200" w:right="200"/>
      </w:pPr>
      <w:r>
        <w:rPr>
          <w:rFonts w:ascii="Calibri" w:cs="Calibri" w:eastAsia="Calibri" w:hAnsi="Calibri"/>
          <w:b/>
          <w:bCs/>
          <w:color w:val="1B3A5C"/>
          <w:sz w:val="22"/>
          <w:szCs w:val="22"/>
        </w:rPr>
        <w:t xml:space="preserve">Current pricing at ~19.6x consensus 2026E EPS [WEB-SCREEN — StockAnalysis/CompaniesMarketCap, 2026-05-01] implies the market prices base-case earnings with zero optionality premium for AI monetization or FCF normalization post-CAPEX cycle. The base case alone offers +11%/yr IRR over 2 years.</w:t>
      </w:r>
    </w:p>
    <w:p>
      <w:pPr>
        <w:pStyle w:val="Heading1"/>
        <w:pageBreakBefore/>
        <w:shd w:fill="1B3A5C" w:val="clear"/>
        <w:spacing w:after="160" w:before="300"/>
      </w:pPr>
      <w:r>
        <w:rPr>
          <w:rFonts w:ascii="Calibri" w:cs="Calibri" w:eastAsia="Calibri" w:hAnsi="Calibri"/>
          <w:b/>
          <w:bCs/>
          <w:color w:val="FFFFFF"/>
          <w:sz w:val="30"/>
          <w:szCs w:val="30"/>
        </w:rPr>
        <w:t xml:space="preserve">2. COMPANY OVERVIEW</w:t>
      </w:r>
    </w:p>
    <w:p>
      <w:pPr>
        <w:pStyle w:val="Heading2"/>
        <w:pBdr>
          <w:bottom w:val="single" w:color="2E5F8A" w:sz="4" w:space="2"/>
        </w:pBdr>
        <w:spacing w:after="100" w:before="220"/>
      </w:pPr>
      <w:r>
        <w:rPr>
          <w:rFonts w:ascii="Calibri" w:cs="Calibri" w:eastAsia="Calibri" w:hAnsi="Calibri"/>
          <w:b/>
          <w:bCs/>
          <w:color w:val="1B3A5C"/>
          <w:sz w:val="24"/>
          <w:szCs w:val="24"/>
        </w:rPr>
        <w:t xml:space="preserve">Business Description</w:t>
      </w:r>
    </w:p>
    <w:p>
      <w:pPr>
        <w:spacing w:after="80" w:before="80" w:line="280"/>
        <w:jc w:val="left"/>
      </w:pPr>
      <w:r>
        <w:rPr>
          <w:rFonts w:ascii="Calibri" w:cs="Calibri" w:eastAsia="Calibri" w:hAnsi="Calibri"/>
          <w:b w:val="false"/>
          <w:bCs w:val="false"/>
          <w:i w:val="false"/>
          <w:iCs w:val="false"/>
          <w:color w:val="1A1A1A"/>
          <w:sz w:val="22"/>
          <w:szCs w:val="22"/>
        </w:rPr>
        <w:t xml:space="preserve">META Platforms, Inc. (NASDAQ: META) is the world's largest social media and digital advertising company. It operates two reportable segments:</w:t>
      </w:r>
    </w:p>
    <w:p>
      <w:pPr>
        <w:spacing w:after="40" w:before="40"/>
      </w:pPr>
      <w:r>
        <w:t xml:space="preserve"/>
      </w:r>
    </w:p>
    <w:p>
      <w:pPr>
        <w:pStyle w:val="ListParagraph"/>
        <w:numPr>
          <w:ilvl w:val="0"/>
          <w:numId w:val="2"/>
        </w:numPr>
        <w:spacing w:after="60" w:before="60" w:line="280"/>
      </w:pPr>
      <w:r>
        <w:rPr>
          <w:rFonts w:ascii="Calibri" w:cs="Calibri" w:eastAsia="Calibri" w:hAnsi="Calibri"/>
          <w:color w:val="1A1A1A"/>
          <w:sz w:val="22"/>
          <w:szCs w:val="22"/>
        </w:rPr>
        <w:t xml:space="preserve">Family of Apps (FoA): Facebook, Instagram, WhatsApp, Messenger, Threads. Revenue = advertising (97.6% of total [IR]).</w:t>
      </w:r>
    </w:p>
    <w:p>
      <w:pPr>
        <w:pStyle w:val="ListParagraph"/>
        <w:numPr>
          <w:ilvl w:val="0"/>
          <w:numId w:val="2"/>
        </w:numPr>
        <w:spacing w:after="60" w:before="60" w:line="280"/>
      </w:pPr>
      <w:r>
        <w:rPr>
          <w:rFonts w:ascii="Calibri" w:cs="Calibri" w:eastAsia="Calibri" w:hAnsi="Calibri"/>
          <w:color w:val="1A1A1A"/>
          <w:sz w:val="22"/>
          <w:szCs w:val="22"/>
        </w:rPr>
        <w:t xml:space="preserve">Reality Labs (RL): Quest VR headsets, Ray-Ban smart glasses, metaverse software. Revenue = hardware/software sales. Structural EBIT loss (~US$4bn/quarter in 1Q26 [IR]).</w:t>
      </w:r>
    </w:p>
    <w:p>
      <w:pPr>
        <w:spacing w:after="80" w:before="80"/>
      </w:pPr>
      <w:r>
        <w:t xml:space="preserve"/>
      </w:r>
    </w:p>
    <w:p>
      <w:pPr>
        <w:pStyle w:val="Heading2"/>
        <w:pBdr>
          <w:bottom w:val="single" w:color="2E5F8A" w:sz="4" w:space="2"/>
        </w:pBdr>
        <w:spacing w:after="100" w:before="220"/>
      </w:pPr>
      <w:r>
        <w:rPr>
          <w:rFonts w:ascii="Calibri" w:cs="Calibri" w:eastAsia="Calibri" w:hAnsi="Calibri"/>
          <w:b/>
          <w:bCs/>
          <w:color w:val="1B3A5C"/>
          <w:sz w:val="24"/>
          <w:szCs w:val="24"/>
        </w:rPr>
        <w:t xml:space="preserve">Business Model</w:t>
      </w:r>
    </w:p>
    <w:p>
      <w:pPr>
        <w:spacing w:after="80" w:before="80" w:line="280"/>
        <w:jc w:val="left"/>
      </w:pPr>
      <w:r>
        <w:rPr>
          <w:rFonts w:ascii="Calibri" w:cs="Calibri" w:eastAsia="Calibri" w:hAnsi="Calibri"/>
          <w:b w:val="false"/>
          <w:bCs w:val="false"/>
          <w:i w:val="false"/>
          <w:iCs w:val="false"/>
          <w:color w:val="1A1A1A"/>
          <w:sz w:val="22"/>
          <w:szCs w:val="22"/>
        </w:rPr>
        <w:t xml:space="preserve">Near-monolithic advertising business. The advertising engine operates via three linked mechanisms:</w:t>
      </w:r>
    </w:p>
    <w:p>
      <w:pPr>
        <w:spacing w:after="40" w:before="40"/>
      </w:pPr>
      <w:r>
        <w:t xml:space="preserve"/>
      </w:r>
    </w:p>
    <w:p>
      <w:pPr>
        <w:pStyle w:val="ListParagraph"/>
        <w:numPr>
          <w:ilvl w:val="0"/>
          <w:numId w:val="2"/>
        </w:numPr>
        <w:spacing w:after="60" w:before="60" w:line="280"/>
      </w:pPr>
      <w:r>
        <w:rPr>
          <w:rFonts w:ascii="Calibri" w:cs="Calibri" w:eastAsia="Calibri" w:hAnsi="Calibri"/>
          <w:color w:val="1A1A1A"/>
          <w:sz w:val="22"/>
          <w:szCs w:val="22"/>
        </w:rPr>
        <w:t xml:space="preserve">(1) User engagement: time-on-platform generates ad inventory. Family DAP = 3.43bn as of 1Q26 [IR]. Facebook DAUs ~3.35bn [IR].</w:t>
      </w:r>
    </w:p>
    <w:p>
      <w:pPr>
        <w:pStyle w:val="ListParagraph"/>
        <w:numPr>
          <w:ilvl w:val="0"/>
          <w:numId w:val="2"/>
        </w:numPr>
        <w:spacing w:after="60" w:before="60" w:line="280"/>
      </w:pPr>
      <w:r>
        <w:rPr>
          <w:rFonts w:ascii="Calibri" w:cs="Calibri" w:eastAsia="Calibri" w:hAnsi="Calibri"/>
          <w:color w:val="1A1A1A"/>
          <w:sz w:val="22"/>
          <w:szCs w:val="22"/>
        </w:rPr>
        <w:t xml:space="preserve">(2) Advertiser demand: direct-response (e-commerce, SMB) and brand advertisers purchase impressions. ROI is measurable, driving continued reinvestment.</w:t>
      </w:r>
    </w:p>
    <w:p>
      <w:pPr>
        <w:pStyle w:val="ListParagraph"/>
        <w:numPr>
          <w:ilvl w:val="0"/>
          <w:numId w:val="2"/>
        </w:numPr>
        <w:spacing w:after="60" w:before="60" w:line="280"/>
      </w:pPr>
      <w:r>
        <w:rPr>
          <w:rFonts w:ascii="Calibri" w:cs="Calibri" w:eastAsia="Calibri" w:hAnsi="Calibri"/>
          <w:color w:val="1A1A1A"/>
          <w:sz w:val="22"/>
          <w:szCs w:val="22"/>
        </w:rPr>
        <w:t xml:space="preserve">(3) AI-driven targeting: Advantage+ (META's automated ad platform) optimises targeting using in-platform behavioural signals → improves advertiser ROI → drives pricing power (higher CPM) → attracts more advertiser spend. Closed-loop flywheel.</w:t>
      </w:r>
    </w:p>
    <w:p>
      <w:pPr>
        <w:spacing w:after="80" w:before="80"/>
      </w:pPr>
      <w:r>
        <w:t xml:space="preserve"/>
      </w:r>
    </w:p>
    <w:p>
      <w:pPr>
        <w:pStyle w:val="Heading2"/>
        <w:pBdr>
          <w:bottom w:val="single" w:color="2E5F8A" w:sz="4" w:space="2"/>
        </w:pBdr>
        <w:spacing w:after="100" w:before="220"/>
      </w:pPr>
      <w:r>
        <w:rPr>
          <w:rFonts w:ascii="Calibri" w:cs="Calibri" w:eastAsia="Calibri" w:hAnsi="Calibri"/>
          <w:b/>
          <w:bCs/>
          <w:color w:val="1B3A5C"/>
          <w:sz w:val="24"/>
          <w:szCs w:val="24"/>
        </w:rPr>
        <w:t xml:space="preserve">Geography (2025A [IR])</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1560"/>
        <w:gridCol w:w="1200"/>
        <w:gridCol w:w="5400"/>
      </w:tblGrid>
      <w:tr>
        <w:trPr>
          <w:tblHeader/>
        </w:trPr>
        <w:tc>
          <w:tcPr>
            <w:tcW w:type="dxa" w:w="156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FFFFFF"/>
                <w:sz w:val="20"/>
                <w:szCs w:val="20"/>
              </w:rPr>
              <w:t xml:space="preserve">Region</w:t>
            </w:r>
          </w:p>
        </w:tc>
        <w:tc>
          <w:tcPr>
            <w:tcW w:type="dxa" w:w="12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FFFFFF"/>
                <w:sz w:val="20"/>
                <w:szCs w:val="20"/>
              </w:rPr>
              <w:t xml:space="preserve">~Revenue Share</w:t>
            </w:r>
          </w:p>
        </w:tc>
        <w:tc>
          <w:tcPr>
            <w:tcW w:type="dxa" w:w="54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FFFFFF"/>
                <w:sz w:val="20"/>
                <w:szCs w:val="20"/>
              </w:rPr>
              <w:t xml:space="preserve">Characteristics</w:t>
            </w:r>
          </w:p>
        </w:tc>
      </w:tr>
      <w:tr>
        <w:trPr>
          <w:tblHeader w:val="false"/>
        </w:trPr>
        <w:tc>
          <w:tcPr>
            <w:tcW w:type="dxa" w:w="156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 &amp; Canada</w:t>
            </w:r>
          </w:p>
        </w:tc>
        <w:tc>
          <w:tcPr>
            <w:tcW w:type="dxa" w:w="12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~50%</w:t>
            </w:r>
          </w:p>
        </w:tc>
        <w:tc>
          <w:tcPr>
            <w:tcW w:type="dxa" w:w="54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Highest CPM globally. Core SMB and large brand advertiser base.</w:t>
            </w:r>
          </w:p>
        </w:tc>
      </w:tr>
      <w:tr>
        <w:trPr>
          <w:tblHeader w:val="false"/>
        </w:trP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Europe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~25%</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High CPM; regulatory exposure (DSA, GDPR). Key risk region.</w:t>
            </w:r>
          </w:p>
        </w:tc>
      </w:tr>
      <w:tr>
        <w:trPr>
          <w:tblHeader w:val="false"/>
        </w:trPr>
        <w:tc>
          <w:tcPr>
            <w:tcW w:type="dxa" w:w="156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Asia-Pacific</w:t>
            </w:r>
          </w:p>
        </w:tc>
        <w:tc>
          <w:tcPr>
            <w:tcW w:type="dxa" w:w="12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~20%</w:t>
            </w:r>
          </w:p>
        </w:tc>
        <w:tc>
          <w:tcPr>
            <w:tcW w:type="dxa" w:w="54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High growth; lower CPMs vs. US/Europe. Rising middle class.</w:t>
            </w:r>
          </w:p>
        </w:tc>
      </w:tr>
      <w:tr>
        <w:trPr>
          <w:tblHeader w:val="false"/>
        </w:trP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Rest of World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~5%</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Fastest user growth; lowest monetisation density currently.</w:t>
            </w:r>
          </w:p>
        </w:tc>
      </w:tr>
    </w:tbl>
    <w:p>
      <w:pPr>
        <w:spacing w:after="120" w:before="40"/>
      </w:pPr>
      <w:r>
        <w:rPr>
          <w:rFonts w:ascii="Calibri" w:cs="Calibri" w:eastAsia="Calibri" w:hAnsi="Calibri"/>
          <w:i/>
          <w:iCs/>
          <w:color w:val="666666"/>
          <w:sz w:val="18"/>
          <w:szCs w:val="18"/>
        </w:rPr>
        <w:t xml:space="preserve">Source: [IR] — geographic revenue per company disclosures. Percentages are Incrementum est. based on reported segment data.</w:t>
      </w:r>
    </w:p>
    <w:p>
      <w:pPr>
        <w:spacing w:after="80" w:before="80"/>
      </w:pPr>
      <w:r>
        <w:t xml:space="preserve"/>
      </w:r>
    </w:p>
    <w:p>
      <w:pPr>
        <w:pStyle w:val="Heading2"/>
        <w:pBdr>
          <w:bottom w:val="single" w:color="2E5F8A" w:sz="4" w:space="2"/>
        </w:pBdr>
        <w:spacing w:after="100" w:before="220"/>
      </w:pPr>
      <w:r>
        <w:rPr>
          <w:rFonts w:ascii="Calibri" w:cs="Calibri" w:eastAsia="Calibri" w:hAnsi="Calibri"/>
          <w:b/>
          <w:bCs/>
          <w:color w:val="1B3A5C"/>
          <w:sz w:val="24"/>
          <w:szCs w:val="24"/>
        </w:rPr>
        <w:t xml:space="preserve">Reality Labs</w:t>
      </w:r>
    </w:p>
    <w:p>
      <w:pPr>
        <w:spacing w:after="80" w:before="80" w:line="280"/>
        <w:jc w:val="left"/>
      </w:pPr>
      <w:r>
        <w:rPr>
          <w:rFonts w:ascii="Calibri" w:cs="Calibri" w:eastAsia="Calibri" w:hAnsi="Calibri"/>
          <w:b w:val="false"/>
          <w:bCs w:val="false"/>
          <w:i w:val="false"/>
          <w:iCs w:val="false"/>
          <w:color w:val="1A1A1A"/>
          <w:sz w:val="22"/>
          <w:szCs w:val="22"/>
        </w:rPr>
        <w:t xml:space="preserve">Revenue US$412mm in 1Q26 [IR]. EBIT loss US$(4.0)bn in 1Q26 [IR] — annualised loss run rate ~US$16bn. Reality Labs is a long-duration option on spatial computing and the metaverse narrative. Eduardo's thesis does NOT require Reality Labs to work. It is optionality on top of the advertising engine. If excluded from valuation, the pure advertising P/E would be approximately 17-18x on 2026E advertising earnings — a material discount to GOOGL.</w:t>
      </w:r>
    </w:p>
    <w:p>
      <w:pPr>
        <w:pStyle w:val="Heading1"/>
        <w:pageBreakBefore/>
        <w:shd w:fill="1B3A5C" w:val="clear"/>
        <w:spacing w:after="160" w:before="300"/>
      </w:pPr>
      <w:r>
        <w:rPr>
          <w:rFonts w:ascii="Calibri" w:cs="Calibri" w:eastAsia="Calibri" w:hAnsi="Calibri"/>
          <w:b/>
          <w:bCs/>
          <w:color w:val="FFFFFF"/>
          <w:sz w:val="30"/>
          <w:szCs w:val="30"/>
        </w:rPr>
        <w:t xml:space="preserve">3. CAPEX CYCLE ANALYSIS — CORE THESIS PILLAR</w:t>
      </w:r>
    </w:p>
    <w:p>
      <w:pPr>
        <w:pBdr>
          <w:top w:val="single" w:color="1B3A5C" w:sz="1"/>
          <w:left w:val="single" w:color="1B3A5C" w:sz="18" w:space="1"/>
          <w:bottom w:val="single" w:color="1B3A5C" w:sz="1"/>
          <w:right w:val="single" w:color="1B3A5C" w:sz="1"/>
        </w:pBdr>
        <w:shd w:fill="E8EFF6" w:val="clear"/>
        <w:spacing w:after="100" w:before="100"/>
        <w:ind w:left="180" w:right="180"/>
      </w:pPr>
      <w:r>
        <w:rPr>
          <w:rFonts w:ascii="Calibri" w:cs="Calibri" w:eastAsia="Calibri" w:hAnsi="Calibri"/>
          <w:b/>
          <w:bCs/>
          <w:color w:val="1B3A5C"/>
          <w:sz w:val="22"/>
          <w:szCs w:val="22"/>
        </w:rPr>
        <w:t xml:space="preserve">This section is the analytical heart of the memo. The entire investment thesis turns on correctly understanding META's CAPEX cycle: what is being built, what the D&amp;A step-up looks like, when FCF normalises, and whether monetisation justifies the investment.</w:t>
      </w:r>
    </w:p>
    <w:p>
      <w:pPr>
        <w:spacing w:after="100" w:before="100"/>
      </w:pPr>
      <w:r>
        <w:t xml:space="preserve"/>
      </w:r>
    </w:p>
    <w:p>
      <w:pPr>
        <w:pStyle w:val="Heading2"/>
        <w:pBdr>
          <w:bottom w:val="single" w:color="2E5F8A" w:sz="4" w:space="2"/>
        </w:pBdr>
        <w:spacing w:after="100" w:before="220"/>
      </w:pPr>
      <w:r>
        <w:rPr>
          <w:rFonts w:ascii="Calibri" w:cs="Calibri" w:eastAsia="Calibri" w:hAnsi="Calibri"/>
          <w:b/>
          <w:bCs/>
          <w:color w:val="1B3A5C"/>
          <w:sz w:val="24"/>
          <w:szCs w:val="24"/>
        </w:rPr>
        <w:t xml:space="preserve">3.1  What Is Being Built</w:t>
      </w:r>
    </w:p>
    <w:p>
      <w:pPr>
        <w:spacing w:after="80" w:before="80" w:line="280"/>
        <w:jc w:val="left"/>
      </w:pPr>
      <w:r>
        <w:rPr>
          <w:rFonts w:ascii="Calibri" w:cs="Calibri" w:eastAsia="Calibri" w:hAnsi="Calibri"/>
          <w:b w:val="false"/>
          <w:bCs w:val="false"/>
          <w:i w:val="false"/>
          <w:iCs w:val="false"/>
          <w:color w:val="1A1A1A"/>
          <w:sz w:val="22"/>
          <w:szCs w:val="22"/>
        </w:rPr>
        <w:t xml:space="preserve">META's 2026 CAPEX guidance of US$125-145bn [IR — 1Q26 earnings call, 2026-04-30] is a step-change vs. US$69.7bn in 2025A [IR] and US$37.3bn in 2024A [IR]. This is not incremental maintenance. It is a concentrated, multi-year build of three asset categories:</w:t>
      </w:r>
    </w:p>
    <w:p>
      <w:pPr>
        <w:spacing w:after="40" w:before="4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560"/>
        <w:gridCol w:w="2800"/>
        <w:gridCol w:w="4800"/>
      </w:tblGrid>
      <w:tr>
        <w:trPr>
          <w:tblHeader/>
        </w:trPr>
        <w:tc>
          <w:tcPr>
            <w:tcW w:type="dxa" w:w="156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FFFFFF"/>
                <w:sz w:val="20"/>
                <w:szCs w:val="20"/>
              </w:rPr>
              <w:t xml:space="preserve">Asset Category</w:t>
            </w:r>
          </w:p>
        </w:tc>
        <w:tc>
          <w:tcPr>
            <w:tcW w:type="dxa" w:w="28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FFFFFF"/>
                <w:sz w:val="20"/>
                <w:szCs w:val="20"/>
              </w:rPr>
              <w:t xml:space="preserve">Description</w:t>
            </w:r>
          </w:p>
        </w:tc>
        <w:tc>
          <w:tcPr>
            <w:tcW w:type="dxa" w:w="48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FFFFFF"/>
                <w:sz w:val="20"/>
                <w:szCs w:val="20"/>
              </w:rPr>
              <w:t xml:space="preserve">Strategic Rationale</w:t>
            </w:r>
          </w:p>
        </w:tc>
      </w:tr>
      <w:tr>
        <w:trPr>
          <w:tblHeader w:val="false"/>
        </w:trPr>
        <w:tc>
          <w:tcPr>
            <w:tcW w:type="dxa" w:w="156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Custom AI chips (MTIA)</w:t>
            </w:r>
          </w:p>
        </w:tc>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Meta Training and Inference Accelerator. Proprietary silicon for recommendation and ranking workloads.</w:t>
            </w:r>
          </w:p>
        </w:tc>
        <w:tc>
          <w:tcPr>
            <w:tcW w:type="dxa" w:w="4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Reduces NVIDIA GPU dependency. Lowers inference cost at scale. Optimised for ad targeting algorithms.</w:t>
            </w:r>
          </w:p>
        </w:tc>
      </w:tr>
      <w:tr>
        <w:trPr>
          <w:tblHeader w:val="false"/>
        </w:trP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GPU clusters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Third-party GPU procurement (primarily NVIDIA H100/H200) for large-scale model training.</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Trains Llama models, Meta AI, and core recommendation systems. Required for frontier-class AI development.</w:t>
            </w:r>
          </w:p>
        </w:tc>
      </w:tr>
      <w:tr>
        <w:trPr>
          <w:tblHeader w:val="false"/>
        </w:trPr>
        <w:tc>
          <w:tcPr>
            <w:tcW w:type="dxa" w:w="156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Data centres</w:t>
            </w:r>
          </w:p>
        </w:tc>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Owned and operated hyperscale data centres globally. 100% internally consumed — zero cloud revenue offset.</w:t>
            </w:r>
          </w:p>
        </w:tc>
        <w:tc>
          <w:tcPr>
            <w:tcW w:type="dxa" w:w="4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Provides the infrastructure layer. The key structural difference vs. GOOGL/MSFT: no external monetisation of the infrastructure build.</w:t>
            </w:r>
          </w:p>
        </w:tc>
      </w:tr>
    </w:tbl>
    <w:p>
      <w:pPr>
        <w:spacing w:after="120" w:before="40"/>
      </w:pPr>
      <w:r>
        <w:rPr>
          <w:rFonts w:ascii="Calibri" w:cs="Calibri" w:eastAsia="Calibri" w:hAnsi="Calibri"/>
          <w:i/>
          <w:iCs/>
          <w:color w:val="666666"/>
          <w:sz w:val="18"/>
          <w:szCs w:val="18"/>
        </w:rPr>
        <w:t xml:space="preserve">Source: Management commentary 1Q26 earnings call 2026-04-30 [IR]. Asset categorisation is Incrementum est.</w:t>
      </w:r>
    </w:p>
    <w:p>
      <w:pPr>
        <w:spacing w:after="60" w:before="60"/>
      </w:pPr>
      <w:r>
        <w:t xml:space="preserve"/>
      </w:r>
    </w:p>
    <w:p>
      <w:pPr>
        <w:spacing w:after="80" w:before="80" w:line="280"/>
        <w:jc w:val="left"/>
      </w:pPr>
      <w:r>
        <w:rPr>
          <w:rFonts w:ascii="Calibri" w:cs="Calibri" w:eastAsia="Calibri" w:hAnsi="Calibri"/>
          <w:b/>
          <w:bCs/>
          <w:color w:val="1B3A5C"/>
          <w:sz w:val="22"/>
          <w:szCs w:val="22"/>
        </w:rPr>
        <w:t xml:space="preserve">Layer 5 Applications context: </w:t>
      </w:r>
      <w:r>
        <w:rPr>
          <w:rFonts w:ascii="Calibri" w:cs="Calibri" w:eastAsia="Calibri" w:hAnsi="Calibri"/>
          <w:color w:val="1A1A1A"/>
          <w:sz w:val="22"/>
          <w:szCs w:val="22"/>
        </w:rPr>
        <w:t xml:space="preserve">Per IncrementumOS wiki (ai-infrastructure-buildout.md, 2026-05-02), META occupies Layer 5 of Jensen Huang's 5-layer AI stack — the Applications layer where economic value materialises. META does not sell AI infrastructure; it consumes it to improve its own products. The ROI is captured internally through advertising efficiency and future AI applications. This is fundamentally different from NVIDIA (Layer 2) or data centre operators (Layer 3) and changes the investment debate entirely.</w:t>
      </w:r>
    </w:p>
    <w:p>
      <w:pPr>
        <w:spacing w:after="100" w:before="100"/>
      </w:pPr>
      <w:r>
        <w:t xml:space="preserve"/>
      </w:r>
    </w:p>
    <w:p>
      <w:pPr>
        <w:pStyle w:val="Heading2"/>
        <w:pBdr>
          <w:bottom w:val="single" w:color="2E5F8A" w:sz="4" w:space="2"/>
        </w:pBdr>
        <w:spacing w:after="100" w:before="220"/>
      </w:pPr>
      <w:r>
        <w:rPr>
          <w:rFonts w:ascii="Calibri" w:cs="Calibri" w:eastAsia="Calibri" w:hAnsi="Calibri"/>
          <w:b/>
          <w:bCs/>
          <w:color w:val="1B3A5C"/>
          <w:sz w:val="24"/>
          <w:szCs w:val="24"/>
        </w:rPr>
        <w:t xml:space="preserve">3.2  D&amp;A Schedule: The Step-Up Ahead</w:t>
      </w:r>
    </w:p>
    <w:p>
      <w:pPr>
        <w:spacing w:after="80" w:before="80" w:line="280"/>
        <w:jc w:val="left"/>
      </w:pPr>
      <w:r>
        <w:rPr>
          <w:rFonts w:ascii="Calibri" w:cs="Calibri" w:eastAsia="Calibri" w:hAnsi="Calibri"/>
          <w:b w:val="false"/>
          <w:bCs w:val="false"/>
          <w:i w:val="false"/>
          <w:iCs w:val="false"/>
          <w:color w:val="1A1A1A"/>
          <w:sz w:val="22"/>
          <w:szCs w:val="22"/>
        </w:rPr>
        <w:t xml:space="preserve">Historical D&amp;A [IR]:</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960"/>
        <w:gridCol w:w="1200"/>
        <w:gridCol w:w="1200"/>
        <w:gridCol w:w="1500"/>
        <w:gridCol w:w="4300"/>
      </w:tblGrid>
      <w:tr>
        <w:trPr>
          <w:tblHeader/>
        </w:trPr>
        <w:tc>
          <w:tcPr>
            <w:tcW w:type="dxa" w:w="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FFFFFF"/>
                <w:sz w:val="20"/>
                <w:szCs w:val="20"/>
              </w:rPr>
              <w:t xml:space="preserve">Year</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FFFFFF"/>
                <w:sz w:val="20"/>
                <w:szCs w:val="20"/>
              </w:rPr>
              <w:t xml:space="preserve">D&amp;A</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FFFFFF"/>
                <w:sz w:val="20"/>
                <w:szCs w:val="20"/>
              </w:rPr>
              <w:t xml:space="preserve">YoY Growth</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FFFFFF"/>
                <w:sz w:val="20"/>
                <w:szCs w:val="20"/>
              </w:rPr>
              <w:t xml:space="preserve">CAPEX that Year</w:t>
            </w:r>
          </w:p>
        </w:tc>
        <w:tc>
          <w:tcPr>
            <w:tcW w:type="dxa" w:w="4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FFFFFF"/>
                <w:sz w:val="20"/>
                <w:szCs w:val="20"/>
              </w:rPr>
              <w:t xml:space="preserve">Notes</w:t>
            </w:r>
          </w:p>
        </w:tc>
      </w:tr>
      <w:tr>
        <w:trPr>
          <w:tblHeader w:val="false"/>
        </w:trPr>
        <w:tc>
          <w:tcPr>
            <w:tcW w:type="dxa" w:w="96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2021</w:t>
            </w:r>
          </w:p>
        </w:tc>
        <w:tc>
          <w:tcPr>
            <w:tcW w:type="dxa" w:w="12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US$7.97bn</w:t>
            </w:r>
          </w:p>
        </w:tc>
        <w:tc>
          <w:tcPr>
            <w:tcW w:type="dxa" w:w="12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+n/a</w:t>
            </w:r>
          </w:p>
        </w:tc>
        <w:tc>
          <w:tcPr>
            <w:tcW w:type="dxa" w:w="15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~US$19bn</w:t>
            </w:r>
          </w:p>
        </w:tc>
        <w:tc>
          <w:tcPr>
            <w:tcW w:type="dxa" w:w="43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Pre-AI buildout baseline</w:t>
            </w:r>
          </w:p>
        </w:tc>
      </w:tr>
      <w:tr>
        <w:trPr>
          <w:tblHeader w:val="false"/>
        </w:trPr>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2022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US$8.69bn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+9%</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~US$32bn</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Investment phase begins</w:t>
            </w:r>
          </w:p>
        </w:tc>
      </w:tr>
      <w:tr>
        <w:trPr>
          <w:tblHeader w:val="false"/>
        </w:trPr>
        <w:tc>
          <w:tcPr>
            <w:tcW w:type="dxa" w:w="96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2023</w:t>
            </w:r>
          </w:p>
        </w:tc>
        <w:tc>
          <w:tcPr>
            <w:tcW w:type="dxa" w:w="12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US$11.18bn</w:t>
            </w:r>
          </w:p>
        </w:tc>
        <w:tc>
          <w:tcPr>
            <w:tcW w:type="dxa" w:w="12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+29%</w:t>
            </w:r>
          </w:p>
        </w:tc>
        <w:tc>
          <w:tcPr>
            <w:tcW w:type="dxa" w:w="15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US$28.1bn</w:t>
            </w:r>
          </w:p>
        </w:tc>
        <w:tc>
          <w:tcPr>
            <w:tcW w:type="dxa" w:w="43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Moderate CAPEX year</w:t>
            </w:r>
          </w:p>
        </w:tc>
      </w:tr>
      <w:tr>
        <w:trPr>
          <w:tblHeader w:val="false"/>
        </w:trPr>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2024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US$15.50bn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+39%</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US$39.2bn</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Acceleration begins</w:t>
            </w:r>
          </w:p>
        </w:tc>
      </w:tr>
      <w:tr>
        <w:trPr>
          <w:tblHeader w:val="false"/>
        </w:trPr>
        <w:tc>
          <w:tcPr>
            <w:tcW w:type="dxa" w:w="96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2025A</w:t>
            </w:r>
          </w:p>
        </w:tc>
        <w:tc>
          <w:tcPr>
            <w:tcW w:type="dxa" w:w="12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US$18.62bn</w:t>
            </w:r>
          </w:p>
        </w:tc>
        <w:tc>
          <w:tcPr>
            <w:tcW w:type="dxa" w:w="12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+20%</w:t>
            </w:r>
          </w:p>
        </w:tc>
        <w:tc>
          <w:tcPr>
            <w:tcW w:type="dxa" w:w="15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US$69.7bn</w:t>
            </w:r>
          </w:p>
        </w:tc>
        <w:tc>
          <w:tcPr>
            <w:tcW w:type="dxa" w:w="43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Step-change CAPEX; D&amp;A lags ~12-18mo</w:t>
            </w:r>
          </w:p>
        </w:tc>
      </w:tr>
    </w:tbl>
    <w:p>
      <w:pPr>
        <w:spacing w:after="120" w:before="40"/>
      </w:pPr>
      <w:r>
        <w:rPr>
          <w:rFonts w:ascii="Calibri" w:cs="Calibri" w:eastAsia="Calibri" w:hAnsi="Calibri"/>
          <w:i/>
          <w:iCs/>
          <w:color w:val="666666"/>
          <w:sz w:val="18"/>
          <w:szCs w:val="18"/>
        </w:rPr>
        <w:t xml:space="preserve">Source: [IR] — SEC filings. CAPEX figures from cash flow statement. D&amp;A lags CAPEX by asset deployment timing.</w:t>
      </w:r>
    </w:p>
    <w:p>
      <w:pPr>
        <w:spacing w:after="80" w:before="80"/>
      </w:pPr>
      <w:r>
        <w:t xml:space="preserve"/>
      </w:r>
    </w:p>
    <w:p>
      <w:pPr>
        <w:pStyle w:val="Heading2"/>
        <w:pBdr>
          <w:bottom w:val="single" w:color="2E5F8A" w:sz="4" w:space="2"/>
        </w:pBdr>
        <w:spacing w:after="100" w:before="220"/>
      </w:pPr>
      <w:r>
        <w:rPr>
          <w:rFonts w:ascii="Calibri" w:cs="Calibri" w:eastAsia="Calibri" w:hAnsi="Calibri"/>
          <w:b/>
          <w:bCs/>
          <w:color w:val="1B3A5C"/>
          <w:sz w:val="24"/>
          <w:szCs w:val="24"/>
        </w:rPr>
        <w:t xml:space="preserve">D&amp;A Projections (Incrementum est.)</w:t>
      </w:r>
    </w:p>
    <w:p>
      <w:pPr>
        <w:spacing w:after="80" w:before="80" w:line="280"/>
        <w:jc w:val="left"/>
      </w:pPr>
      <w:r>
        <w:rPr>
          <w:rFonts w:ascii="Calibri" w:cs="Calibri" w:eastAsia="Calibri" w:hAnsi="Calibri"/>
          <w:b w:val="false"/>
          <w:bCs w:val="false"/>
          <w:i w:val="false"/>
          <w:iCs w:val="false"/>
          <w:color w:val="1A1A1A"/>
          <w:sz w:val="22"/>
          <w:szCs w:val="22"/>
        </w:rPr>
        <w:t xml:space="preserve">Assets put in service from prior-year CAPEX enter depreciation on a blended schedule. Incrementum uses three useful-life scenarios: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1200"/>
        <w:gridCol w:w="1200"/>
        <w:gridCol w:w="1200"/>
        <w:gridCol w:w="2660"/>
      </w:tblGrid>
      <w:tr>
        <w:trPr>
          <w:tblHeader/>
        </w:trPr>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FFFFFF"/>
                <w:sz w:val="20"/>
                <w:szCs w:val="20"/>
              </w:rPr>
              <w:t xml:space="preserve">Scenario</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FFFFFF"/>
                <w:sz w:val="20"/>
                <w:szCs w:val="20"/>
              </w:rPr>
              <w:t xml:space="preserve">Useful Life Assumption</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FFFFFF"/>
                <w:sz w:val="20"/>
                <w:szCs w:val="20"/>
              </w:rPr>
              <w:t xml:space="preserve">2026E D&amp;A</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FFFFFF"/>
                <w:sz w:val="20"/>
                <w:szCs w:val="20"/>
              </w:rPr>
              <w:t xml:space="preserve">2027E D&amp;A</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FFFFFF"/>
                <w:sz w:val="20"/>
                <w:szCs w:val="20"/>
              </w:rPr>
              <w:t xml:space="preserve">2028E D&amp;A</w:t>
            </w:r>
          </w:p>
        </w:tc>
        <w:tc>
          <w:tcPr>
            <w:tcW w:type="dxa" w:w="26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FFFFFF"/>
                <w:sz w:val="20"/>
                <w:szCs w:val="20"/>
              </w:rPr>
              <w:t xml:space="preserve">Key Driver</w:t>
            </w:r>
          </w:p>
        </w:tc>
      </w:tr>
      <w:tr>
        <w:trPr>
          <w:tblHeader w:val="false"/>
        </w:trPr>
        <w:tc>
          <w:tcPr>
            <w:tcW w:type="dxa" w:w="13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Bull (benign)</w:t>
            </w:r>
          </w:p>
        </w:tc>
        <w:tc>
          <w:tcPr>
            <w:tcW w:type="dxa" w:w="16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10-year blended</w:t>
            </w:r>
          </w:p>
        </w:tc>
        <w:tc>
          <w:tcPr>
            <w:tcW w:type="dxa" w:w="12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US$23-25bn</w:t>
            </w:r>
          </w:p>
        </w:tc>
        <w:tc>
          <w:tcPr>
            <w:tcW w:type="dxa" w:w="12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US$28-32bn</w:t>
            </w:r>
          </w:p>
        </w:tc>
        <w:tc>
          <w:tcPr>
            <w:tcW w:type="dxa" w:w="12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~US$30bn</w:t>
            </w:r>
          </w:p>
        </w:tc>
        <w:tc>
          <w:tcPr>
            <w:tcW w:type="dxa" w:w="266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Buildings 20-30yr amortised; lighter depreciation</w:t>
            </w:r>
          </w:p>
        </w:tc>
      </w:tr>
      <w:tr>
        <w:trPr>
          <w:tblHeader w:val="false"/>
        </w:trP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Base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7-year blended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US$25-28bn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US$33-38bn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~US$38-40bn</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Servers 3-5yr, network 7-10yr, buildings amortised</w:t>
            </w:r>
          </w:p>
        </w:tc>
      </w:tr>
      <w:tr>
        <w:trPr>
          <w:tblHeader w:val="false"/>
        </w:trPr>
        <w:tc>
          <w:tcPr>
            <w:tcW w:type="dxa" w:w="13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Bear (D&amp;A trap)</w:t>
            </w:r>
          </w:p>
        </w:tc>
        <w:tc>
          <w:tcPr>
            <w:tcW w:type="dxa" w:w="16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5-year blended</w:t>
            </w:r>
          </w:p>
        </w:tc>
        <w:tc>
          <w:tcPr>
            <w:tcW w:type="dxa" w:w="12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US$28-32bn</w:t>
            </w:r>
          </w:p>
        </w:tc>
        <w:tc>
          <w:tcPr>
            <w:tcW w:type="dxa" w:w="12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US$38-44bn</w:t>
            </w:r>
          </w:p>
        </w:tc>
        <w:tc>
          <w:tcPr>
            <w:tcW w:type="dxa" w:w="12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~US$45-50bn</w:t>
            </w:r>
          </w:p>
        </w:tc>
        <w:tc>
          <w:tcPr>
            <w:tcW w:type="dxa" w:w="266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Aggressive tech obsolescence; maximum D&amp;A pressure</w:t>
            </w:r>
          </w:p>
        </w:tc>
      </w:tr>
    </w:tbl>
    <w:p>
      <w:pPr>
        <w:spacing w:after="120" w:before="40"/>
      </w:pPr>
      <w:r>
        <w:rPr>
          <w:rFonts w:ascii="Calibri" w:cs="Calibri" w:eastAsia="Calibri" w:hAnsi="Calibri"/>
          <w:i/>
          <w:iCs/>
          <w:color w:val="666666"/>
          <w:sz w:val="18"/>
          <w:szCs w:val="18"/>
        </w:rPr>
        <w:t xml:space="preserve">Source: Incrementum est. Asset life assumptions based on META's disclosed depreciation policy in 10-K footnotes [IR]. 7-year blended is the BASE CASE used in Section 6 valuation model.</w:t>
      </w:r>
    </w:p>
    <w:p>
      <w:pPr>
        <w:spacing w:after="100" w:before="100"/>
      </w:pPr>
      <w:r>
        <w:t xml:space="preserve"/>
      </w:r>
    </w:p>
    <w:p>
      <w:pPr>
        <w:pStyle w:val="Heading2"/>
        <w:pBdr>
          <w:bottom w:val="single" w:color="2E5F8A" w:sz="4" w:space="2"/>
        </w:pBdr>
        <w:spacing w:after="100" w:before="220"/>
      </w:pPr>
      <w:r>
        <w:rPr>
          <w:rFonts w:ascii="Calibri" w:cs="Calibri" w:eastAsia="Calibri" w:hAnsi="Calibri"/>
          <w:b/>
          <w:bCs/>
          <w:color w:val="1B3A5C"/>
          <w:sz w:val="24"/>
          <w:szCs w:val="24"/>
        </w:rPr>
        <w:t xml:space="preserve">3.3  FCF in Transition: The Trough</w:t>
      </w:r>
    </w:p>
    <w:p>
      <w:pPr>
        <w:spacing w:after="80" w:before="80" w:line="280"/>
        <w:jc w:val="left"/>
      </w:pPr>
      <w:r>
        <w:rPr>
          <w:rFonts w:ascii="Calibri" w:cs="Calibri" w:eastAsia="Calibri" w:hAnsi="Calibri"/>
          <w:b w:val="false"/>
          <w:bCs w:val="false"/>
          <w:i w:val="false"/>
          <w:iCs w:val="false"/>
          <w:color w:val="1A1A1A"/>
          <w:sz w:val="22"/>
          <w:szCs w:val="22"/>
        </w:rPr>
        <w:t xml:space="preserve">FCF is the metric the market focuses on, and it is entering a visible trough in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200"/>
        <w:gridCol w:w="1250"/>
        <w:gridCol w:w="1000"/>
        <w:gridCol w:w="1000"/>
        <w:gridCol w:w="1250"/>
        <w:gridCol w:w="2940"/>
      </w:tblGrid>
      <w:tr>
        <w:trPr>
          <w:tblHeader/>
        </w:trPr>
        <w:tc>
          <w:tcPr>
            <w:tcW w:type="dxa" w:w="7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FFFFFF"/>
                <w:sz w:val="20"/>
                <w:szCs w:val="20"/>
              </w:rPr>
              <w:t xml:space="preserve">Year</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FFFFFF"/>
                <w:sz w:val="20"/>
                <w:szCs w:val="20"/>
              </w:rPr>
              <w:t xml:space="preserve">OCF</w:t>
            </w:r>
          </w:p>
        </w:tc>
        <w:tc>
          <w:tcPr>
            <w:tcW w:type="dxa" w:w="125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FFFFFF"/>
                <w:sz w:val="20"/>
                <w:szCs w:val="20"/>
              </w:rPr>
              <w:t xml:space="preserve">CAPEX</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FFFFFF"/>
                <w:sz w:val="20"/>
                <w:szCs w:val="20"/>
              </w:rPr>
              <w:t xml:space="preserve">FCF</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FFFFFF"/>
                <w:sz w:val="20"/>
                <w:szCs w:val="20"/>
              </w:rPr>
              <w:t xml:space="preserve">FCF Margin</w:t>
            </w:r>
          </w:p>
        </w:tc>
        <w:tc>
          <w:tcPr>
            <w:tcW w:type="dxa" w:w="125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FFFFFF"/>
                <w:sz w:val="20"/>
                <w:szCs w:val="20"/>
              </w:rPr>
              <w:t xml:space="preserve">FCF less SBC</w:t>
            </w:r>
          </w:p>
        </w:tc>
        <w:tc>
          <w:tcPr>
            <w:tcW w:type="dxa" w:w="29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FFFFFF"/>
                <w:sz w:val="20"/>
                <w:szCs w:val="20"/>
              </w:rPr>
              <w:t xml:space="preserve">Notes</w:t>
            </w:r>
          </w:p>
        </w:tc>
      </w:tr>
      <w:tr>
        <w:trPr>
          <w:tblHeader w:val="false"/>
        </w:trPr>
        <w:tc>
          <w:tcPr>
            <w:tcW w:type="dxa" w:w="72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2023</w:t>
            </w:r>
          </w:p>
        </w:tc>
        <w:tc>
          <w:tcPr>
            <w:tcW w:type="dxa" w:w="12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US$71.1bn</w:t>
            </w:r>
          </w:p>
        </w:tc>
        <w:tc>
          <w:tcPr>
            <w:tcW w:type="dxa" w:w="125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US$(28.1)bn</w:t>
            </w:r>
          </w:p>
        </w:tc>
        <w:tc>
          <w:tcPr>
            <w:tcW w:type="dxa" w:w="10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US$43.0bn</w:t>
            </w:r>
          </w:p>
        </w:tc>
        <w:tc>
          <w:tcPr>
            <w:tcW w:type="dxa" w:w="10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31.9%</w:t>
            </w:r>
          </w:p>
        </w:tc>
        <w:tc>
          <w:tcPr>
            <w:tcW w:type="dxa" w:w="125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US$28.1bn</w:t>
            </w:r>
          </w:p>
        </w:tc>
        <w:tc>
          <w:tcPr>
            <w:tcW w:type="dxa" w:w="294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Stable CAPEX; strong FCF generation [IR]</w:t>
            </w:r>
          </w:p>
        </w:tc>
      </w:tr>
      <w:tr>
        <w:trPr>
          <w:tblHeader w:val="false"/>
        </w:trP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2024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US$91.3bn</w:t>
            </w:r>
          </w:p>
        </w:tc>
        <w:tc>
          <w:tcPr>
            <w:tcW w:type="dxa" w:w="1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US$(39.2)bn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US$52.1bn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31.6%</w:t>
            </w:r>
          </w:p>
        </w:tc>
        <w:tc>
          <w:tcPr>
            <w:tcW w:type="dxa" w:w="1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US$33.0bn</w:t>
            </w:r>
          </w:p>
        </w:tc>
        <w:tc>
          <w:tcPr>
            <w:tcW w:type="dxa" w:w="2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CAPEX accelerates; FCF still strong [IR]</w:t>
            </w:r>
          </w:p>
        </w:tc>
      </w:tr>
      <w:tr>
        <w:trPr>
          <w:tblHeader w:val="false"/>
        </w:trPr>
        <w:tc>
          <w:tcPr>
            <w:tcW w:type="dxa" w:w="72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2025A</w:t>
            </w:r>
          </w:p>
        </w:tc>
        <w:tc>
          <w:tcPr>
            <w:tcW w:type="dxa" w:w="12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US$115.8bn</w:t>
            </w:r>
          </w:p>
        </w:tc>
        <w:tc>
          <w:tcPr>
            <w:tcW w:type="dxa" w:w="125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US$(69.7)bn</w:t>
            </w:r>
          </w:p>
        </w:tc>
        <w:tc>
          <w:tcPr>
            <w:tcW w:type="dxa" w:w="10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US$46.1bn</w:t>
            </w:r>
          </w:p>
        </w:tc>
        <w:tc>
          <w:tcPr>
            <w:tcW w:type="dxa" w:w="10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22.9%</w:t>
            </w:r>
          </w:p>
        </w:tc>
        <w:tc>
          <w:tcPr>
            <w:tcW w:type="dxa" w:w="125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US$25.7bn</w:t>
            </w:r>
          </w:p>
        </w:tc>
        <w:tc>
          <w:tcPr>
            <w:tcW w:type="dxa" w:w="294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Trough begins. D&amp;A ramp starts [IR]</w:t>
            </w:r>
          </w:p>
        </w:tc>
      </w:tr>
      <w:tr>
        <w:trPr>
          <w:tblHeader w:val="false"/>
        </w:trP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2026E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~US$120bn</w:t>
            </w:r>
          </w:p>
        </w:tc>
        <w:tc>
          <w:tcPr>
            <w:tcW w:type="dxa" w:w="1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US$(135)bn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~US$(15)bn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Negative</w:t>
            </w:r>
          </w:p>
        </w:tc>
        <w:tc>
          <w:tcPr>
            <w:tcW w:type="dxa" w:w="1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Deeply negative</w:t>
            </w:r>
          </w:p>
        </w:tc>
        <w:tc>
          <w:tcPr>
            <w:tcW w:type="dxa" w:w="2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CAPEX trough. Guided US$125-145bn [IR/Incrementum est.]</w:t>
            </w:r>
          </w:p>
        </w:tc>
      </w:tr>
      <w:tr>
        <w:trPr>
          <w:tblHeader w:val="false"/>
        </w:trPr>
        <w:tc>
          <w:tcPr>
            <w:tcW w:type="dxa" w:w="72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2027E</w:t>
            </w:r>
          </w:p>
        </w:tc>
        <w:tc>
          <w:tcPr>
            <w:tcW w:type="dxa" w:w="12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~US$140bn</w:t>
            </w:r>
          </w:p>
        </w:tc>
        <w:tc>
          <w:tcPr>
            <w:tcW w:type="dxa" w:w="125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US$(105)bn</w:t>
            </w:r>
          </w:p>
        </w:tc>
        <w:tc>
          <w:tcPr>
            <w:tcW w:type="dxa" w:w="10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~US$35bn</w:t>
            </w:r>
          </w:p>
        </w:tc>
        <w:tc>
          <w:tcPr>
            <w:tcW w:type="dxa" w:w="10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~12.6%</w:t>
            </w:r>
          </w:p>
        </w:tc>
        <w:tc>
          <w:tcPr>
            <w:tcW w:type="dxa" w:w="125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~US$9bn</w:t>
            </w:r>
          </w:p>
        </w:tc>
        <w:tc>
          <w:tcPr>
            <w:tcW w:type="dxa" w:w="294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CAPEX normalising. D&amp;A step-up peaks [Incrementum est.]</w:t>
            </w:r>
          </w:p>
        </w:tc>
      </w:tr>
      <w:tr>
        <w:trPr>
          <w:tblHeader w:val="false"/>
        </w:trP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2028E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~US$165bn</w:t>
            </w:r>
          </w:p>
        </w:tc>
        <w:tc>
          <w:tcPr>
            <w:tcW w:type="dxa" w:w="1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US$(85)bn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~US$80bn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~24.6%</w:t>
            </w:r>
          </w:p>
        </w:tc>
        <w:tc>
          <w:tcPr>
            <w:tcW w:type="dxa" w:w="1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~US$52bn</w:t>
            </w:r>
          </w:p>
        </w:tc>
        <w:tc>
          <w:tcPr>
            <w:tcW w:type="dxa" w:w="2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FCF normalisation. Thesis payoff year [Incrementum est.]</w:t>
            </w:r>
          </w:p>
        </w:tc>
      </w:tr>
    </w:tbl>
    <w:p>
      <w:pPr>
        <w:spacing w:after="120" w:before="40"/>
      </w:pPr>
      <w:r>
        <w:rPr>
          <w:rFonts w:ascii="Calibri" w:cs="Calibri" w:eastAsia="Calibri" w:hAnsi="Calibri"/>
          <w:i/>
          <w:iCs/>
          <w:color w:val="666666"/>
          <w:sz w:val="18"/>
          <w:szCs w:val="18"/>
        </w:rPr>
        <w:t xml:space="preserve">Source: 2023-2025A from [IR]. 2026E-2028E all Incrementum est. OCF reflects D&amp;A add-back; FCF = OCF minus CAPEX.</w:t>
      </w:r>
    </w:p>
    <w:p>
      <w:pPr>
        <w:spacing w:after="100" w:before="100"/>
      </w:pPr>
      <w:r>
        <w:t xml:space="preserve"/>
      </w:r>
    </w:p>
    <w:p>
      <w:pPr>
        <w:pStyle w:val="Heading2"/>
        <w:pBdr>
          <w:bottom w:val="single" w:color="2E5F8A" w:sz="4" w:space="2"/>
        </w:pBdr>
        <w:spacing w:after="100" w:before="220"/>
      </w:pPr>
      <w:r>
        <w:rPr>
          <w:rFonts w:ascii="Calibri" w:cs="Calibri" w:eastAsia="Calibri" w:hAnsi="Calibri"/>
          <w:b/>
          <w:bCs/>
          <w:color w:val="1B3A5C"/>
          <w:sz w:val="24"/>
          <w:szCs w:val="24"/>
        </w:rPr>
        <w:t xml:space="preserve">3.4  The Key Debate: Monetisation vs. D&amp;A Trap</w:t>
      </w:r>
    </w:p>
    <w:p>
      <w:pPr>
        <w:pBdr>
          <w:left w:val="single" w:color="1A6B2E" w:sz="16" w:space="1"/>
        </w:pBdr>
        <w:shd w:fill="E8F5E9" w:val="clear"/>
        <w:spacing w:after="60" w:before="100"/>
        <w:ind w:left="200"/>
      </w:pPr>
      <w:r>
        <w:rPr>
          <w:rFonts w:ascii="Calibri" w:cs="Calibri" w:eastAsia="Calibri" w:hAnsi="Calibri"/>
          <w:b/>
          <w:bCs/>
          <w:color w:val="1A6B2E"/>
          <w:sz w:val="24"/>
          <w:szCs w:val="24"/>
        </w:rPr>
        <w:t xml:space="preserve">BULL CASE: CAPEX Builds a Competitive Moat</w:t>
      </w:r>
    </w:p>
    <w:p>
      <w:pPr>
        <w:pStyle w:val="ListParagraph"/>
        <w:numPr>
          <w:ilvl w:val="0"/>
          <w:numId w:val="2"/>
        </w:numPr>
        <w:spacing w:after="60" w:before="60" w:line="280"/>
      </w:pPr>
      <w:r>
        <w:rPr>
          <w:rFonts w:ascii="Calibri" w:cs="Calibri" w:eastAsia="Calibri" w:hAnsi="Calibri"/>
          <w:color w:val="1A1A1A"/>
          <w:sz w:val="22"/>
          <w:szCs w:val="22"/>
        </w:rPr>
        <w:t xml:space="preserve">Advantage+ directly increases advertiser ROI, driving pricing power. The 1Q26 revenue of US$56.3bn (+33% YoY [IR]) occurred during PEAK CAPEX spend. The advertising engine is demonstrably growing while the infrastructure is being built — not waiting for it to complete.</w:t>
      </w:r>
    </w:p>
    <w:p>
      <w:pPr>
        <w:pStyle w:val="ListParagraph"/>
        <w:numPr>
          <w:ilvl w:val="0"/>
          <w:numId w:val="2"/>
        </w:numPr>
        <w:spacing w:after="60" w:before="60" w:line="280"/>
      </w:pPr>
      <w:r>
        <w:rPr>
          <w:rFonts w:ascii="Calibri" w:cs="Calibri" w:eastAsia="Calibri" w:hAnsi="Calibri"/>
          <w:color w:val="1A1A1A"/>
          <w:sz w:val="22"/>
          <w:szCs w:val="22"/>
        </w:rPr>
        <w:t xml:space="preserve">META as Layer 5 (Applications): META does not need to sell AI infrastructure to others. It consumes it to improve its own products. ROI is captured internally. Unlike NVIDIA (Layer 2) or data centre operators (Layer 3), META's infrastructure investment directly defends and extends its advertising moat.</w:t>
      </w:r>
    </w:p>
    <w:p>
      <w:pPr>
        <w:pStyle w:val="ListParagraph"/>
        <w:numPr>
          <w:ilvl w:val="0"/>
          <w:numId w:val="2"/>
        </w:numPr>
        <w:spacing w:after="60" w:before="60" w:line="280"/>
      </w:pPr>
      <w:r>
        <w:rPr>
          <w:rFonts w:ascii="Calibri" w:cs="Calibri" w:eastAsia="Calibri" w:hAnsi="Calibri"/>
          <w:color w:val="1A1A1A"/>
          <w:sz w:val="22"/>
          <w:szCs w:val="22"/>
        </w:rPr>
        <w:t xml:space="preserve">CAPEX optionality (Meta AI, Llama API, AI assistants) is free to holders at current prices. The base case does not require any AI monetisation to justify the investment — the advertising flywheel alone generates the return.</w:t>
      </w:r>
    </w:p>
    <w:p>
      <w:pPr>
        <w:spacing w:after="80" w:before="80"/>
      </w:pPr>
      <w:r>
        <w:t xml:space="preserve"/>
      </w:r>
    </w:p>
    <w:p>
      <w:pPr>
        <w:pBdr>
          <w:left w:val="single" w:color="8B1A1A" w:sz="16" w:space="1"/>
        </w:pBdr>
        <w:shd w:fill="FEECEC" w:val="clear"/>
        <w:spacing w:after="60" w:before="100"/>
        <w:ind w:left="200"/>
      </w:pPr>
      <w:r>
        <w:rPr>
          <w:rFonts w:ascii="Calibri" w:cs="Calibri" w:eastAsia="Calibri" w:hAnsi="Calibri"/>
          <w:b/>
          <w:bCs/>
          <w:color w:val="8B1A1A"/>
          <w:sz w:val="24"/>
          <w:szCs w:val="24"/>
        </w:rPr>
        <w:t xml:space="preserve">BEAR CASE: D&amp;A Trap</w:t>
      </w:r>
    </w:p>
    <w:p>
      <w:pPr>
        <w:pStyle w:val="ListParagraph"/>
        <w:numPr>
          <w:ilvl w:val="0"/>
          <w:numId w:val="2"/>
        </w:numPr>
        <w:spacing w:after="60" w:before="60" w:line="280"/>
      </w:pPr>
      <w:r>
        <w:rPr>
          <w:rFonts w:ascii="Calibri" w:cs="Calibri" w:eastAsia="Calibri" w:hAnsi="Calibri"/>
          <w:color w:val="1A1A1A"/>
          <w:sz w:val="22"/>
          <w:szCs w:val="22"/>
        </w:rPr>
        <w:t xml:space="preserve">If Advantage+ has already been deployed and is generating the current +33% growth (with diminishing returns ahead), the D&amp;A step-up from 2026-2028 flows directly through to EPS compression.</w:t>
      </w:r>
    </w:p>
    <w:p>
      <w:pPr>
        <w:pStyle w:val="ListParagraph"/>
        <w:numPr>
          <w:ilvl w:val="0"/>
          <w:numId w:val="2"/>
        </w:numPr>
        <w:spacing w:after="60" w:before="60" w:line="280"/>
      </w:pPr>
      <w:r>
        <w:rPr>
          <w:rFonts w:ascii="Calibri" w:cs="Calibri" w:eastAsia="Calibri" w:hAnsi="Calibri"/>
          <w:color w:val="1A1A1A"/>
          <w:sz w:val="22"/>
          <w:szCs w:val="22"/>
        </w:rPr>
        <w:t xml:space="preserve">A US$45bn D&amp;A in 2028E versus US$18.6bn in 2025A is an additional ~US$26bn annual charge. At 21% effective tax rate, that is ~US$20.5bn net income reduction, or ~US$8/share EPS headwind. Clarification: this ~US$8/share figure refers exclusively to the incremental D&amp;A step-up from US$18.6bn (2025A) to US$45bn (bear 2028E), at 21% tax rate and ~2,530mm diluted shares [Incrementum est.]. SBC growth (an additional ~US$3-4bn above the 2025A base) would add a further ~US$1-1.5/share of headwind, which is modelled separately in OpEx ex-D&amp;A. If 2028E EPS base is US$34, D&amp;A trap produces ~US$26 EPS — at 18x P/E = US$468, below current price.</w:t>
      </w:r>
    </w:p>
    <w:p>
      <w:pPr>
        <w:pStyle w:val="ListParagraph"/>
        <w:numPr>
          <w:ilvl w:val="0"/>
          <w:numId w:val="2"/>
        </w:numPr>
        <w:spacing w:after="60" w:before="60" w:line="280"/>
      </w:pPr>
      <w:r>
        <w:rPr>
          <w:rFonts w:ascii="Calibri" w:cs="Calibri" w:eastAsia="Calibri" w:hAnsi="Calibri"/>
          <w:color w:val="1A1A1A"/>
          <w:sz w:val="22"/>
          <w:szCs w:val="22"/>
        </w:rPr>
        <w:t xml:space="preserve">Critical structural difference vs. GOOGL: GOOGL guides US$75bn CAPEX in 2026 but has Google Cloud (~25% of revenue) directly monetising infrastructure externally. META has NO cloud revenue. ALL of META's infrastructure investment must generate ROI through advertising efficiency and future AI applications. This makes the META bull case more binary.</w:t>
      </w:r>
    </w:p>
    <w:p>
      <w:pPr>
        <w:spacing w:after="100" w:before="100"/>
      </w:pPr>
      <w:r>
        <w:t xml:space="preserve"/>
      </w:r>
    </w:p>
    <w:p>
      <w:pPr>
        <w:pStyle w:val="Heading2"/>
        <w:pBdr>
          <w:bottom w:val="single" w:color="2E5F8A" w:sz="4" w:space="2"/>
        </w:pBdr>
        <w:spacing w:after="100" w:before="220"/>
      </w:pPr>
      <w:r>
        <w:rPr>
          <w:rFonts w:ascii="Calibri" w:cs="Calibri" w:eastAsia="Calibri" w:hAnsi="Calibri"/>
          <w:b/>
          <w:bCs/>
          <w:color w:val="1B3A5C"/>
          <w:sz w:val="24"/>
          <w:szCs w:val="24"/>
        </w:rPr>
        <w:t xml:space="preserve">3.5  CAPEX Payback Sensitivity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rPr>
          <w:tblHeader/>
        </w:trPr>
        <w:tc>
          <w:tcPr>
            <w:tcW w:type="dxa" w:w="32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FFFFFF"/>
                <w:sz w:val="20"/>
                <w:szCs w:val="20"/>
              </w:rPr>
              <w:t xml:space="preserve">Parameter</w:t>
            </w:r>
          </w:p>
        </w:tc>
        <w:tc>
          <w:tcPr>
            <w:tcW w:type="dxa" w:w="30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FFFFFF"/>
                <w:sz w:val="20"/>
                <w:szCs w:val="20"/>
              </w:rPr>
              <w:t xml:space="preserve">Value</w:t>
            </w:r>
          </w:p>
        </w:tc>
        <w:tc>
          <w:tcPr>
            <w:tcW w:type="dxa" w:w="316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FFFFFF"/>
                <w:sz w:val="20"/>
                <w:szCs w:val="20"/>
              </w:rPr>
              <w:t xml:space="preserve">Source</w:t>
            </w:r>
          </w:p>
        </w:tc>
      </w:tr>
      <w:tr>
        <w:trPr>
          <w:tblHeader w:val="false"/>
        </w:trPr>
        <w:tc>
          <w:tcPr>
            <w:tcW w:type="dxa" w:w="32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Incremental CAPEX 2025-2027 (beyond maintenance)</w:t>
            </w:r>
          </w:p>
        </w:tc>
        <w:tc>
          <w:tcPr>
            <w:tcW w:type="dxa" w:w="30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~US$200bn cumulative</w:t>
            </w:r>
          </w:p>
        </w:tc>
        <w:tc>
          <w:tcPr>
            <w:tcW w:type="dxa" w:w="316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Incrementum est.</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Required EBIT improvement (10% WACC hurdle, perpetuity)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~US$22bn/yr incremental run-rate EBIT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Incrementum est.</w:t>
            </w:r>
          </w:p>
        </w:tc>
      </w:tr>
      <w:tr>
        <w:trPr>
          <w:tblHeader w:val="false"/>
        </w:trPr>
        <w:tc>
          <w:tcPr>
            <w:tcW w:type="dxa" w:w="32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EBIT per incremental revenue dollar (1Q26 margin)</w:t>
            </w:r>
          </w:p>
        </w:tc>
        <w:tc>
          <w:tcPr>
            <w:tcW w:type="dxa" w:w="30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~US$0.41 (40.6% EBIT margin)</w:t>
            </w:r>
          </w:p>
        </w:tc>
        <w:tc>
          <w:tcPr>
            <w:tcW w:type="dxa" w:w="316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[IR — 1Q26 result]</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Implied incremental revenue required by 2028E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~US$54bn (US$22bn / 0.41)</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Incrementum est.</w:t>
            </w:r>
          </w:p>
        </w:tc>
      </w:tr>
      <w:tr>
        <w:trPr>
          <w:tblHeader w:val="false"/>
        </w:trPr>
        <w:tc>
          <w:tcPr>
            <w:tcW w:type="dxa" w:w="32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2025A revenue base</w:t>
            </w:r>
          </w:p>
        </w:tc>
        <w:tc>
          <w:tcPr>
            <w:tcW w:type="dxa" w:w="30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US$201bn</w:t>
            </w:r>
          </w:p>
        </w:tc>
        <w:tc>
          <w:tcPr>
            <w:tcW w:type="dxa" w:w="316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[IR]</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Revenue to clear hurdle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~US$255bn by 2028E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Incrementum est.</w:t>
            </w:r>
          </w:p>
        </w:tc>
      </w:tr>
      <w:tr>
        <w:trPr>
          <w:tblHeader w:val="false"/>
        </w:trPr>
        <w:tc>
          <w:tcPr>
            <w:tcW w:type="dxa" w:w="32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Base case 2028E revenue</w:t>
            </w:r>
          </w:p>
        </w:tc>
        <w:tc>
          <w:tcPr>
            <w:tcW w:type="dxa" w:w="30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~US$325bn — CLEARS hurdle by US$70bn</w:t>
            </w:r>
          </w:p>
        </w:tc>
        <w:tc>
          <w:tcPr>
            <w:tcW w:type="dxa" w:w="316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Incrementum est.</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Bear case 2028E revenue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~US$230bn — DOES NOT clear hurdle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Incrementum est.</w:t>
            </w:r>
          </w:p>
        </w:tc>
      </w:tr>
    </w:tbl>
    <w:p>
      <w:pPr>
        <w:spacing w:after="120" w:before="40"/>
      </w:pPr>
      <w:r>
        <w:rPr>
          <w:rFonts w:ascii="Calibri" w:cs="Calibri" w:eastAsia="Calibri" w:hAnsi="Calibri"/>
          <w:i/>
          <w:iCs/>
          <w:color w:val="666666"/>
          <w:sz w:val="18"/>
          <w:szCs w:val="18"/>
        </w:rPr>
        <w:t xml:space="preserve">Source: Incrementum est. Payback analysis uses EBIT margin as proxy for incremental return on infrastructure investment. 10% WACC hurdle used (vs. 11% applied in DCF — conservative on payback, conservative on valuation).</w:t>
      </w:r>
    </w:p>
    <w:p>
      <w:pPr>
        <w:pStyle w:val="Heading1"/>
        <w:pageBreakBefore/>
        <w:shd w:fill="1B3A5C" w:val="clear"/>
        <w:spacing w:after="160" w:before="300"/>
      </w:pPr>
      <w:r>
        <w:rPr>
          <w:rFonts w:ascii="Calibri" w:cs="Calibri" w:eastAsia="Calibri" w:hAnsi="Calibri"/>
          <w:b/>
          <w:bCs/>
          <w:color w:val="FFFFFF"/>
          <w:sz w:val="30"/>
          <w:szCs w:val="30"/>
        </w:rPr>
        <w:t xml:space="preserve">4. SUMMARY FINANCIALS</w:t>
      </w:r>
    </w:p>
    <w:p>
      <w:pPr>
        <w:pStyle w:val="Heading2"/>
        <w:pBdr>
          <w:bottom w:val="single" w:color="2E5F8A" w:sz="4" w:space="2"/>
        </w:pBdr>
        <w:spacing w:after="100" w:before="220"/>
      </w:pPr>
      <w:r>
        <w:rPr>
          <w:rFonts w:ascii="Calibri" w:cs="Calibri" w:eastAsia="Calibri" w:hAnsi="Calibri"/>
          <w:b/>
          <w:bCs/>
          <w:color w:val="1B3A5C"/>
          <w:sz w:val="24"/>
          <w:szCs w:val="24"/>
        </w:rPr>
        <w:t xml:space="preserve">4.1  Income Statement — Historical and Projected</w:t>
      </w: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720"/>
        <w:gridCol w:w="1200"/>
        <w:gridCol w:w="640"/>
        <w:gridCol w:w="1100"/>
        <w:gridCol w:w="780"/>
        <w:gridCol w:w="1200"/>
        <w:gridCol w:w="1000"/>
        <w:gridCol w:w="1120"/>
      </w:tblGrid>
      <w:tr>
        <w:trPr>
          <w:tblHeader/>
        </w:trPr>
        <w:tc>
          <w:tcPr>
            <w:tcW w:type="dxa" w:w="7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FFFFFF"/>
                <w:sz w:val="20"/>
                <w:szCs w:val="20"/>
              </w:rPr>
              <w:t xml:space="preserve">Year</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FFFFFF"/>
                <w:sz w:val="20"/>
                <w:szCs w:val="20"/>
              </w:rPr>
              <w:t xml:space="preserve">Revenue</w:t>
            </w:r>
          </w:p>
        </w:tc>
        <w:tc>
          <w:tcPr>
            <w:tcW w:type="dxa" w:w="6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FFFFFF"/>
                <w:sz w:val="20"/>
                <w:szCs w:val="20"/>
              </w:rPr>
              <w:t xml:space="preserve">YoY%</w:t>
            </w:r>
          </w:p>
        </w:tc>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FFFFFF"/>
                <w:sz w:val="20"/>
                <w:szCs w:val="20"/>
              </w:rPr>
              <w:t xml:space="preserve">EBIT</w:t>
            </w:r>
          </w:p>
        </w:tc>
        <w:tc>
          <w:tcPr>
            <w:tcW w:type="dxa" w:w="7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FFFFFF"/>
                <w:sz w:val="20"/>
                <w:szCs w:val="20"/>
              </w:rPr>
              <w:t xml:space="preserve">EBIT%</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FFFFFF"/>
                <w:sz w:val="20"/>
                <w:szCs w:val="20"/>
              </w:rPr>
              <w:t xml:space="preserve">Net Income</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FFFFFF"/>
                <w:sz w:val="20"/>
                <w:szCs w:val="20"/>
              </w:rPr>
              <w:t xml:space="preserve">EPS (Dil.)</w:t>
            </w:r>
          </w:p>
        </w:tc>
        <w:tc>
          <w:tcPr>
            <w:tcW w:type="dxa" w:w="1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FFFFFF"/>
                <w:sz w:val="20"/>
                <w:szCs w:val="20"/>
              </w:rPr>
              <w:t xml:space="preserve">D&amp;A</w:t>
            </w:r>
          </w:p>
        </w:tc>
      </w:tr>
      <w:tr>
        <w:trPr>
          <w:tblHeader w:val="false"/>
        </w:trPr>
        <w:tc>
          <w:tcPr>
            <w:tcW w:type="dxa" w:w="72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2021</w:t>
            </w:r>
          </w:p>
        </w:tc>
        <w:tc>
          <w:tcPr>
            <w:tcW w:type="dxa" w:w="12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US$117.9bn</w:t>
            </w:r>
          </w:p>
        </w:tc>
        <w:tc>
          <w:tcPr>
            <w:tcW w:type="dxa" w:w="64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+37%</w:t>
            </w:r>
          </w:p>
        </w:tc>
        <w:tc>
          <w:tcPr>
            <w:tcW w:type="dxa" w:w="11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US$46.8bn</w:t>
            </w:r>
          </w:p>
        </w:tc>
        <w:tc>
          <w:tcPr>
            <w:tcW w:type="dxa" w:w="78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39.7%</w:t>
            </w:r>
          </w:p>
        </w:tc>
        <w:tc>
          <w:tcPr>
            <w:tcW w:type="dxa" w:w="12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US$39.4bn</w:t>
            </w:r>
          </w:p>
        </w:tc>
        <w:tc>
          <w:tcPr>
            <w:tcW w:type="dxa" w:w="10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US$13.77</w:t>
            </w:r>
          </w:p>
        </w:tc>
        <w:tc>
          <w:tcPr>
            <w:tcW w:type="dxa" w:w="112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US$7.97bn</w:t>
            </w:r>
          </w:p>
        </w:tc>
      </w:tr>
      <w:tr>
        <w:trPr>
          <w:tblHeader w:val="false"/>
        </w:trP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2022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US$116.6bn</w:t>
            </w:r>
          </w:p>
        </w:tc>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US$28.9bn</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24.8%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US$23.2bn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US$8.59</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US$8.69bn</w:t>
            </w:r>
          </w:p>
        </w:tc>
      </w:tr>
      <w:tr>
        <w:trPr>
          <w:tblHeader w:val="false"/>
        </w:trPr>
        <w:tc>
          <w:tcPr>
            <w:tcW w:type="dxa" w:w="72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2023</w:t>
            </w:r>
          </w:p>
        </w:tc>
        <w:tc>
          <w:tcPr>
            <w:tcW w:type="dxa" w:w="12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US$134.9bn</w:t>
            </w:r>
          </w:p>
        </w:tc>
        <w:tc>
          <w:tcPr>
            <w:tcW w:type="dxa" w:w="64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+16%</w:t>
            </w:r>
          </w:p>
        </w:tc>
        <w:tc>
          <w:tcPr>
            <w:tcW w:type="dxa" w:w="11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US$46.8bn</w:t>
            </w:r>
          </w:p>
        </w:tc>
        <w:tc>
          <w:tcPr>
            <w:tcW w:type="dxa" w:w="78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34.7%</w:t>
            </w:r>
          </w:p>
        </w:tc>
        <w:tc>
          <w:tcPr>
            <w:tcW w:type="dxa" w:w="12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US$39.1bn</w:t>
            </w:r>
          </w:p>
        </w:tc>
        <w:tc>
          <w:tcPr>
            <w:tcW w:type="dxa" w:w="10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US$14.87</w:t>
            </w:r>
          </w:p>
        </w:tc>
        <w:tc>
          <w:tcPr>
            <w:tcW w:type="dxa" w:w="112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US$11.18bn</w:t>
            </w:r>
          </w:p>
        </w:tc>
      </w:tr>
      <w:tr>
        <w:trPr>
          <w:tblHeader w:val="false"/>
        </w:trP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2024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US$164.5bn</w:t>
            </w:r>
          </w:p>
        </w:tc>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+22%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US$69.4bn</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42.2%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US$62.4bn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US$23.86</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US$15.50bn</w:t>
            </w:r>
          </w:p>
        </w:tc>
      </w:tr>
      <w:tr>
        <w:trPr>
          <w:tblHeader w:val="false"/>
        </w:trPr>
        <w:tc>
          <w:tcPr>
            <w:tcW w:type="dxa" w:w="72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2025A</w:t>
            </w:r>
          </w:p>
        </w:tc>
        <w:tc>
          <w:tcPr>
            <w:tcW w:type="dxa" w:w="12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US$201.0bn</w:t>
            </w:r>
          </w:p>
        </w:tc>
        <w:tc>
          <w:tcPr>
            <w:tcW w:type="dxa" w:w="64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+22%</w:t>
            </w:r>
          </w:p>
        </w:tc>
        <w:tc>
          <w:tcPr>
            <w:tcW w:type="dxa" w:w="11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US$83.2bn</w:t>
            </w:r>
          </w:p>
        </w:tc>
        <w:tc>
          <w:tcPr>
            <w:tcW w:type="dxa" w:w="78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41.4%</w:t>
            </w:r>
          </w:p>
        </w:tc>
        <w:tc>
          <w:tcPr>
            <w:tcW w:type="dxa" w:w="12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US$60.5bn</w:t>
            </w:r>
          </w:p>
        </w:tc>
        <w:tc>
          <w:tcPr>
            <w:tcW w:type="dxa" w:w="10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US$23.86</w:t>
            </w:r>
          </w:p>
        </w:tc>
        <w:tc>
          <w:tcPr>
            <w:tcW w:type="dxa" w:w="112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US$18.62bn</w:t>
            </w:r>
          </w:p>
        </w:tc>
      </w:tr>
      <w:tr>
        <w:trPr>
          <w:tblHeader w:val="false"/>
        </w:trP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2026E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US$238bn</w:t>
            </w:r>
          </w:p>
        </w:tc>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+18%</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US$85bn</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35.7%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US$67bn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US$24.50</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~US$27bn</w:t>
            </w:r>
          </w:p>
        </w:tc>
      </w:tr>
      <w:tr>
        <w:trPr>
          <w:tblHeader w:val="false"/>
        </w:trPr>
        <w:tc>
          <w:tcPr>
            <w:tcW w:type="dxa" w:w="72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2027E</w:t>
            </w:r>
          </w:p>
        </w:tc>
        <w:tc>
          <w:tcPr>
            <w:tcW w:type="dxa" w:w="12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US$278bn</w:t>
            </w:r>
          </w:p>
        </w:tc>
        <w:tc>
          <w:tcPr>
            <w:tcW w:type="dxa" w:w="64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+17%</w:t>
            </w:r>
          </w:p>
        </w:tc>
        <w:tc>
          <w:tcPr>
            <w:tcW w:type="dxa" w:w="11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US$105bn</w:t>
            </w:r>
          </w:p>
        </w:tc>
        <w:tc>
          <w:tcPr>
            <w:tcW w:type="dxa" w:w="78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37.8%</w:t>
            </w:r>
          </w:p>
        </w:tc>
        <w:tc>
          <w:tcPr>
            <w:tcW w:type="dxa" w:w="12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US$83bn</w:t>
            </w:r>
          </w:p>
        </w:tc>
        <w:tc>
          <w:tcPr>
            <w:tcW w:type="dxa" w:w="10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US$30.00</w:t>
            </w:r>
          </w:p>
        </w:tc>
        <w:tc>
          <w:tcPr>
            <w:tcW w:type="dxa" w:w="112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~US$35bn</w:t>
            </w:r>
          </w:p>
        </w:tc>
      </w:tr>
      <w:tr>
        <w:trPr>
          <w:tblHeader w:val="false"/>
        </w:trP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2028E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US$325bn</w:t>
            </w:r>
          </w:p>
        </w:tc>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+17%</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US$130bn</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40.0%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US$103bn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US$38.00</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~US$40bn</w:t>
            </w:r>
          </w:p>
        </w:tc>
      </w:tr>
    </w:tbl>
    <w:p>
      <w:pPr>
        <w:spacing w:after="120" w:before="40"/>
      </w:pPr>
      <w:r>
        <w:rPr>
          <w:rFonts w:ascii="Calibri" w:cs="Calibri" w:eastAsia="Calibri" w:hAnsi="Calibri"/>
          <w:i/>
          <w:iCs/>
          <w:color w:val="666666"/>
          <w:sz w:val="18"/>
          <w:szCs w:val="18"/>
        </w:rPr>
        <w:t xml:space="preserve">Source: 2021-2025A [IR — SEC filings]. 2026E-2028E all Incrementum est. Note: 2025A NI &lt; 2024A due to D&amp;A ramp, higher taxes, and Reality Labs losses [IR].</w:t>
      </w:r>
    </w:p>
    <w:p>
      <w:pPr>
        <w:spacing w:after="80" w:before="80"/>
      </w:pPr>
      <w:r>
        <w:t xml:space="preserve"/>
      </w:r>
    </w:p>
    <w:p>
      <w:pPr>
        <w:pStyle w:val="Heading3"/>
        <w:spacing w:after="80" w:before="160"/>
      </w:pPr>
      <w:r>
        <w:rPr>
          <w:rFonts w:ascii="Calibri" w:cs="Calibri" w:eastAsia="Calibri" w:hAnsi="Calibri"/>
          <w:b/>
          <w:bCs/>
          <w:color w:val="2E5F8A"/>
          <w:sz w:val="22"/>
          <w:szCs w:val="22"/>
        </w:rPr>
        <w:t xml:space="preserve">1Q26 Actuals [IR — 1Q26 earnings release, 2026-04-30]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360"/>
        <w:gridCol w:w="780"/>
        <w:gridCol w:w="5660"/>
      </w:tblGrid>
      <w:tr>
        <w:trPr>
          <w:tblHeader/>
        </w:trPr>
        <w:tc>
          <w:tcPr>
            <w:tcW w:type="dxa" w:w="156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FFFFFF"/>
                <w:sz w:val="20"/>
                <w:szCs w:val="20"/>
              </w:rPr>
              <w:t xml:space="preserve">Metric</w:t>
            </w:r>
          </w:p>
        </w:tc>
        <w:tc>
          <w:tcPr>
            <w:tcW w:type="dxa" w:w="136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FFFFFF"/>
                <w:sz w:val="20"/>
                <w:szCs w:val="20"/>
              </w:rPr>
              <w:t xml:space="preserve">1Q26 Actual</w:t>
            </w:r>
          </w:p>
        </w:tc>
        <w:tc>
          <w:tcPr>
            <w:tcW w:type="dxa" w:w="78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FFFFFF"/>
                <w:sz w:val="20"/>
                <w:szCs w:val="20"/>
              </w:rPr>
              <w:t xml:space="preserve">YoY</w:t>
            </w:r>
          </w:p>
        </w:tc>
        <w:tc>
          <w:tcPr>
            <w:tcW w:type="dxa" w:w="566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FFFFFF"/>
                <w:sz w:val="20"/>
                <w:szCs w:val="20"/>
              </w:rPr>
              <w:t xml:space="preserve">Notes</w:t>
            </w:r>
          </w:p>
        </w:tc>
      </w:tr>
      <w:tr>
        <w:trPr>
          <w:tblHeader w:val="false"/>
        </w:trPr>
        <w:tc>
          <w:tcPr>
            <w:tcW w:type="dxa" w:w="156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Revenue</w:t>
            </w:r>
          </w:p>
        </w:tc>
        <w:tc>
          <w:tcPr>
            <w:tcW w:type="dxa" w:w="136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US$56.3bn</w:t>
            </w:r>
          </w:p>
        </w:tc>
        <w:tc>
          <w:tcPr>
            <w:tcW w:type="dxa" w:w="78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+33%</w:t>
            </w:r>
          </w:p>
        </w:tc>
        <w:tc>
          <w:tcPr>
            <w:tcW w:type="dxa" w:w="566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Strongest growth since 2021 peak cycle [IR]</w:t>
            </w:r>
          </w:p>
        </w:tc>
      </w:tr>
      <w:tr>
        <w:trPr>
          <w:tblHeader w:val="false"/>
        </w:trP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EBIT</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US$22.9bn</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n/a</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EBIT margin 40.6% — at peak despite CAPEX ramp [IR]</w:t>
            </w:r>
          </w:p>
        </w:tc>
      </w:tr>
      <w:tr>
        <w:trPr>
          <w:tblHeader w:val="false"/>
        </w:trPr>
        <w:tc>
          <w:tcPr>
            <w:tcW w:type="dxa" w:w="156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Net Income</w:t>
            </w:r>
          </w:p>
        </w:tc>
        <w:tc>
          <w:tcPr>
            <w:tcW w:type="dxa" w:w="136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US$16.6bn</w:t>
            </w:r>
          </w:p>
        </w:tc>
        <w:tc>
          <w:tcPr>
            <w:tcW w:type="dxa" w:w="78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n/a</w:t>
            </w:r>
          </w:p>
        </w:tc>
        <w:tc>
          <w:tcPr>
            <w:tcW w:type="dxa" w:w="566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[IR]</w:t>
            </w:r>
          </w:p>
        </w:tc>
      </w:tr>
      <w:tr>
        <w:trPr>
          <w:tblHeader w:val="false"/>
        </w:trP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Diluted EPS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US$6.43</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n/a</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[IR]</w:t>
            </w:r>
          </w:p>
        </w:tc>
      </w:tr>
      <w:tr>
        <w:trPr>
          <w:tblHeader w:val="false"/>
        </w:trPr>
        <w:tc>
          <w:tcPr>
            <w:tcW w:type="dxa" w:w="156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CAPEX</w:t>
            </w:r>
          </w:p>
        </w:tc>
        <w:tc>
          <w:tcPr>
            <w:tcW w:type="dxa" w:w="136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US$19.84bn</w:t>
            </w:r>
          </w:p>
        </w:tc>
        <w:tc>
          <w:tcPr>
            <w:tcW w:type="dxa" w:w="78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n/a</w:t>
            </w:r>
          </w:p>
        </w:tc>
        <w:tc>
          <w:tcPr>
            <w:tcW w:type="dxa" w:w="566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~US$79bn annualised — below FY guide midpoint [IR]</w:t>
            </w:r>
          </w:p>
        </w:tc>
      </w:tr>
      <w:tr>
        <w:trPr>
          <w:tblHeader w:val="false"/>
        </w:trP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FCF</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US$12.4bn</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n/a</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FCF margin 22.0%; CAPEX ramp accelerates H2 [IR]</w:t>
            </w:r>
          </w:p>
        </w:tc>
      </w:tr>
      <w:tr>
        <w:trPr>
          <w:tblHeader w:val="false"/>
        </w:trPr>
        <w:tc>
          <w:tcPr>
            <w:tcW w:type="dxa" w:w="156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FCF less SBC</w:t>
            </w:r>
          </w:p>
        </w:tc>
        <w:tc>
          <w:tcPr>
            <w:tcW w:type="dxa" w:w="136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~US$6.4bn</w:t>
            </w:r>
          </w:p>
        </w:tc>
        <w:tc>
          <w:tcPr>
            <w:tcW w:type="dxa" w:w="78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n/a</w:t>
            </w:r>
          </w:p>
        </w:tc>
        <w:tc>
          <w:tcPr>
            <w:tcW w:type="dxa" w:w="566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SBC ~US$6.0bn estimated 1Q26 [Incrementum est.]</w:t>
            </w:r>
          </w:p>
        </w:tc>
      </w:tr>
      <w:tr>
        <w:trPr>
          <w:tblHeader w:val="false"/>
        </w:trP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Family DAP</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3.43bn</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n/a</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Daily Active People across all apps [IR]</w:t>
            </w:r>
          </w:p>
        </w:tc>
      </w:tr>
    </w:tbl>
    <w:p>
      <w:pPr>
        <w:spacing w:after="120" w:before="40"/>
      </w:pPr>
      <w:r>
        <w:rPr>
          <w:rFonts w:ascii="Calibri" w:cs="Calibri" w:eastAsia="Calibri" w:hAnsi="Calibri"/>
          <w:i/>
          <w:iCs/>
          <w:color w:val="666666"/>
          <w:sz w:val="18"/>
          <w:szCs w:val="18"/>
        </w:rPr>
        <w:t xml:space="preserve">Source: META Platforms 1Q26 earnings release, 2026-04-30 [IR].</w:t>
      </w:r>
    </w:p>
    <w:p>
      <w:pPr>
        <w:spacing w:after="80" w:before="80"/>
      </w:pPr>
      <w:r>
        <w:t xml:space="preserve"/>
      </w:r>
    </w:p>
    <w:p>
      <w:pPr>
        <w:pStyle w:val="Heading3"/>
        <w:spacing w:after="80" w:before="160"/>
      </w:pPr>
      <w:r>
        <w:rPr>
          <w:rFonts w:ascii="Calibri" w:cs="Calibri" w:eastAsia="Calibri" w:hAnsi="Calibri"/>
          <w:b/>
          <w:bCs/>
          <w:color w:val="2E5F8A"/>
          <w:sz w:val="22"/>
          <w:szCs w:val="22"/>
        </w:rPr>
        <w:t xml:space="preserve">2026 Management Guidance [IR — 1Q26 earnings call, 2026-04-30]</w:t>
      </w:r>
    </w:p>
    <w:p>
      <w:pPr>
        <w:pStyle w:val="ListParagraph"/>
        <w:numPr>
          <w:ilvl w:val="0"/>
          <w:numId w:val="2"/>
        </w:numPr>
        <w:spacing w:after="60" w:before="60" w:line="280"/>
      </w:pPr>
      <w:r>
        <w:rPr>
          <w:rFonts w:ascii="Calibri" w:cs="Calibri" w:eastAsia="Calibri" w:hAnsi="Calibri"/>
          <w:color w:val="1A1A1A"/>
          <w:sz w:val="22"/>
          <w:szCs w:val="22"/>
        </w:rPr>
        <w:t xml:space="preserve">2Q26 Revenue: US$58-61bn (+15-19% YoY estimated)</w:t>
      </w:r>
    </w:p>
    <w:p>
      <w:pPr>
        <w:pStyle w:val="ListParagraph"/>
        <w:numPr>
          <w:ilvl w:val="0"/>
          <w:numId w:val="2"/>
        </w:numPr>
        <w:spacing w:after="60" w:before="60" w:line="280"/>
      </w:pPr>
      <w:r>
        <w:rPr>
          <w:rFonts w:ascii="Calibri" w:cs="Calibri" w:eastAsia="Calibri" w:hAnsi="Calibri"/>
          <w:color w:val="1A1A1A"/>
          <w:sz w:val="22"/>
          <w:szCs w:val="22"/>
        </w:rPr>
        <w:t xml:space="preserve">2026 Total Expenses: US$162-169bn</w:t>
      </w:r>
    </w:p>
    <w:p>
      <w:pPr>
        <w:pStyle w:val="ListParagraph"/>
        <w:numPr>
          <w:ilvl w:val="0"/>
          <w:numId w:val="2"/>
        </w:numPr>
        <w:spacing w:after="60" w:before="60" w:line="280"/>
      </w:pPr>
      <w:r>
        <w:rPr>
          <w:rFonts w:ascii="Calibri" w:cs="Calibri" w:eastAsia="Calibri" w:hAnsi="Calibri"/>
          <w:color w:val="1A1A1A"/>
          <w:sz w:val="22"/>
          <w:szCs w:val="22"/>
        </w:rPr>
        <w:t xml:space="preserve">2026 CAPEX: US$125-145bn (midpoint US$135bn)</w:t>
      </w:r>
    </w:p>
    <w:p>
      <w:pPr>
        <w:spacing w:after="100" w:before="100"/>
      </w:pPr>
      <w:r>
        <w:t xml:space="preserve"/>
      </w:r>
    </w:p>
    <w:p>
      <w:pPr>
        <w:pStyle w:val="Heading2"/>
        <w:pBdr>
          <w:bottom w:val="single" w:color="2E5F8A" w:sz="4" w:space="2"/>
        </w:pBdr>
        <w:spacing w:after="100" w:before="220"/>
      </w:pPr>
      <w:r>
        <w:rPr>
          <w:rFonts w:ascii="Calibri" w:cs="Calibri" w:eastAsia="Calibri" w:hAnsi="Calibri"/>
          <w:b/>
          <w:bCs/>
          <w:color w:val="1B3A5C"/>
          <w:sz w:val="24"/>
          <w:szCs w:val="24"/>
        </w:rPr>
        <w:t xml:space="preserve">4.2  Operating Expense Detail — OpEx ex-D&amp;A</w:t>
      </w:r>
    </w:p>
    <w:p>
      <w:pPr>
        <w:spacing w:after="80" w:before="80" w:line="280"/>
        <w:jc w:val="left"/>
      </w:pPr>
      <w:r>
        <w:rPr>
          <w:rFonts w:ascii="Calibri" w:cs="Calibri" w:eastAsia="Calibri" w:hAnsi="Calibri"/>
          <w:b/>
          <w:bCs/>
          <w:color w:val="1B3A5C"/>
          <w:sz w:val="22"/>
          <w:szCs w:val="22"/>
        </w:rPr>
        <w:t xml:space="preserve">This table resolves the associate's v8 ressalva: </w:t>
      </w:r>
      <w:r>
        <w:rPr>
          <w:rFonts w:ascii="Calibri" w:cs="Calibri" w:eastAsia="Calibri" w:hAnsi="Calibri"/>
          <w:color w:val="1A1A1A"/>
          <w:sz w:val="22"/>
          <w:szCs w:val="22"/>
        </w:rPr>
        <w:t xml:space="preserve">showing OpEx ex-D&amp;A explicitly separates cash cost inflation from the non-cash D&amp;A step-up. The expense growth story is overwhelmingly D&amp;A-driven, not cash cost-driven.</w:t>
      </w:r>
    </w:p>
    <w:p>
      <w:pPr>
        <w:spacing w:after="60" w:before="6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560"/>
        <w:gridCol w:w="1360"/>
        <w:gridCol w:w="1000"/>
        <w:gridCol w:w="1360"/>
        <w:gridCol w:w="1120"/>
        <w:gridCol w:w="1360"/>
        <w:gridCol w:w="2600"/>
      </w:tblGrid>
      <w:tr>
        <w:trPr>
          <w:tblHeader/>
        </w:trPr>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FFFFFF"/>
                <w:sz w:val="20"/>
                <w:szCs w:val="20"/>
              </w:rPr>
              <w:t xml:space="preserve">Year / Scenario</w:t>
            </w:r>
          </w:p>
        </w:tc>
        <w:tc>
          <w:tcPr>
            <w:tcW w:type="dxa" w:w="1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FFFFFF"/>
                <w:sz w:val="20"/>
                <w:szCs w:val="20"/>
              </w:rPr>
              <w:t xml:space="preserve">Total Expenses</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FFFFFF"/>
                <w:sz w:val="20"/>
                <w:szCs w:val="20"/>
              </w:rPr>
              <w:t xml:space="preserve">D&amp;A</w:t>
            </w:r>
          </w:p>
        </w:tc>
        <w:tc>
          <w:tcPr>
            <w:tcW w:type="dxa" w:w="1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FFFFFF"/>
                <w:sz w:val="20"/>
                <w:szCs w:val="20"/>
              </w:rPr>
              <w:t xml:space="preserve">OpEx ex-D&amp;A</w:t>
            </w:r>
          </w:p>
        </w:tc>
        <w:tc>
          <w:tcPr>
            <w:tcW w:type="dxa" w:w="1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FFFFFF"/>
                <w:sz w:val="20"/>
                <w:szCs w:val="20"/>
              </w:rPr>
              <w:t xml:space="preserve">Revenue</w:t>
            </w:r>
          </w:p>
        </w:tc>
        <w:tc>
          <w:tcPr>
            <w:tcW w:type="dxa" w:w="1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FFFFFF"/>
                <w:sz w:val="20"/>
                <w:szCs w:val="20"/>
              </w:rPr>
              <w:t xml:space="preserve">Cash OpEx / Revenue</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FFFFFF"/>
                <w:sz w:val="20"/>
                <w:szCs w:val="20"/>
              </w:rPr>
              <w:t xml:space="preserve">Notes</w:t>
            </w:r>
          </w:p>
        </w:tc>
      </w:tr>
      <w:tr>
        <w:trPr>
          <w:tblHeader w:val="false"/>
        </w:trPr>
        <w:tc>
          <w:tcPr>
            <w:tcW w:type="dxa" w:w="156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2025A</w:t>
            </w:r>
          </w:p>
        </w:tc>
        <w:tc>
          <w:tcPr>
            <w:tcW w:type="dxa" w:w="136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US$117.8bn</w:t>
            </w:r>
          </w:p>
        </w:tc>
        <w:tc>
          <w:tcPr>
            <w:tcW w:type="dxa" w:w="10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US$18.6bn</w:t>
            </w:r>
          </w:p>
        </w:tc>
        <w:tc>
          <w:tcPr>
            <w:tcW w:type="dxa" w:w="136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US$99.2bn</w:t>
            </w:r>
          </w:p>
        </w:tc>
        <w:tc>
          <w:tcPr>
            <w:tcW w:type="dxa" w:w="112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US$201.0bn</w:t>
            </w:r>
          </w:p>
        </w:tc>
        <w:tc>
          <w:tcPr>
            <w:tcW w:type="dxa" w:w="136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49.4%</w:t>
            </w:r>
          </w:p>
        </w:tc>
        <w:tc>
          <w:tcPr>
            <w:tcW w:type="dxa" w:w="26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Derived: Rev - EBIT = Total costs [IR calc]</w:t>
            </w:r>
          </w:p>
        </w:tc>
      </w:tr>
      <w:tr>
        <w:trPr>
          <w:tblHeader w:val="false"/>
        </w:trP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2026E (base)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~US$165.5bn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~US$27bn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~US$138.5bn</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US$238bn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58.2%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Guidance US$162-169bn midpoint [IR]; D&amp;A Incrementum est.</w:t>
            </w:r>
          </w:p>
        </w:tc>
      </w:tr>
      <w:tr>
        <w:trPr>
          <w:tblHeader w:val="false"/>
        </w:trPr>
        <w:tc>
          <w:tcPr>
            <w:tcW w:type="dxa" w:w="156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2027E (base)</w:t>
            </w:r>
          </w:p>
        </w:tc>
        <w:tc>
          <w:tcPr>
            <w:tcW w:type="dxa" w:w="136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~US$173bn</w:t>
            </w:r>
          </w:p>
        </w:tc>
        <w:tc>
          <w:tcPr>
            <w:tcW w:type="dxa" w:w="10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~US$35bn</w:t>
            </w:r>
          </w:p>
        </w:tc>
        <w:tc>
          <w:tcPr>
            <w:tcW w:type="dxa" w:w="136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~US$138bn</w:t>
            </w:r>
          </w:p>
        </w:tc>
        <w:tc>
          <w:tcPr>
            <w:tcW w:type="dxa" w:w="112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US$278bn</w:t>
            </w:r>
          </w:p>
        </w:tc>
        <w:tc>
          <w:tcPr>
            <w:tcW w:type="dxa" w:w="136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49.6%</w:t>
            </w:r>
          </w:p>
        </w:tc>
        <w:tc>
          <w:tcPr>
            <w:tcW w:type="dxa" w:w="26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All Incrementum est.</w:t>
            </w:r>
          </w:p>
        </w:tc>
      </w:tr>
      <w:tr>
        <w:trPr>
          <w:tblHeader w:val="false"/>
        </w:trP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2027E (stress)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~US$180bn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~US$35bn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~US$145bn</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US$278bn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52.2%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Stress scenario: higher headcount, marketing [Incrementum est.]</w:t>
            </w:r>
          </w:p>
        </w:tc>
      </w:tr>
    </w:tbl>
    <w:p>
      <w:pPr>
        <w:spacing w:after="120" w:before="40"/>
      </w:pPr>
      <w:r>
        <w:rPr>
          <w:rFonts w:ascii="Calibri" w:cs="Calibri" w:eastAsia="Calibri" w:hAnsi="Calibri"/>
          <w:i/>
          <w:iCs/>
          <w:color w:val="666666"/>
          <w:sz w:val="18"/>
          <w:szCs w:val="18"/>
        </w:rPr>
        <w:t xml:space="preserve">Source: 2025A derived from [IR]. 2026E guided total expenses [IR]; D&amp;A and all 2027E figures Incrementum est.</w:t>
      </w:r>
    </w:p>
    <w:p>
      <w:pPr>
        <w:spacing w:after="60" w:before="60"/>
      </w:pPr>
      <w:r>
        <w:t xml:space="preserve"/>
      </w:r>
    </w:p>
    <w:p>
      <w:pPr>
        <w:pBdr>
          <w:top w:val="single" w:color="2E5F8A" w:sz="1"/>
          <w:left w:val="single" w:color="1B3A5C" w:sz="12"/>
          <w:bottom w:val="single" w:color="2E5F8A" w:sz="1"/>
          <w:right w:val="single" w:color="2E5F8A" w:sz="1"/>
        </w:pBdr>
        <w:shd w:fill="E8EFF6" w:val="clear"/>
        <w:spacing w:after="100" w:before="100"/>
        <w:ind w:left="200" w:right="200"/>
      </w:pPr>
      <w:r>
        <w:rPr>
          <w:rFonts w:ascii="Calibri" w:cs="Calibri" w:eastAsia="Calibri" w:hAnsi="Calibri"/>
          <w:b/>
          <w:bCs/>
          <w:color w:val="1B3A5C"/>
          <w:sz w:val="22"/>
          <w:szCs w:val="22"/>
        </w:rPr>
        <w:t xml:space="preserve">KEY INSIGHT: Cash operating costs (OpEx ex-D&amp;A) grew ~+40% 2025A to 2026E in absolute terms, but Cash OpEx / Revenue improves to 49.6% in 2027E base vs. 49.4% in 2025A — demonstrating underlying operating leverage. The "META spending too much" narrative conflates non-cash D&amp;A (follows the investment) with actual cash cost inflation.</w:t>
      </w:r>
    </w:p>
    <w:p>
      <w:pPr>
        <w:spacing w:after="80" w:before="80" w:line="280"/>
        <w:jc w:val="left"/>
      </w:pPr>
      <w:r>
        <w:rPr>
          <w:rFonts w:ascii="Calibri" w:cs="Calibri" w:eastAsia="Calibri" w:hAnsi="Calibri"/>
          <w:b w:val="false"/>
          <w:bCs w:val="false"/>
          <w:i w:val="false"/>
          <w:iCs w:val="false"/>
          <w:color w:val="1A1A1A"/>
          <w:sz w:val="22"/>
          <w:szCs w:val="22"/>
        </w:rPr>
        <w:t xml:space="preserve">Why OpEx ex-D&amp;A rises +40% from 2025A to 2026E then stays flat in 2027E: The 2026E jump has two drivers. First, SBC is estimated to grow from ~US$20.4bn [IR] to ~US$24bn as headcount additions from 2023-2025 vest and equity comp accruals increase [Incrementum est.]. Second, infrastructure operating costs associated with newly commissioned data centres — bandwidth, cooling, maintenance — enter the P&amp;L as assets come into service. The 2027E flat assumption (~US$138bn in both years despite +17% revenue growth) is based on three factors: (a) headcount freeze: management commentary on the 1Q26 earnings call indicated deliberate hiring restraint as the CAPEX cycle peaks [IR — management commentary]; (b) SBC efficiency as revenue scales faster than headcount; (c) data centre opex mix shift — incremental CAPEX deployed in 2027E adds less operating cost proportionally than the first tranche, as existing infrastructure runs at higher utilisation. This flat-cost / growing-revenue dynamic is the lever that drives EBIT margin recovery from the 2026E trough.</w:t>
      </w:r>
    </w:p>
    <w:p>
      <w:pPr>
        <w:spacing w:after="100" w:before="100"/>
      </w:pPr>
      <w:r>
        <w:t xml:space="preserve"/>
      </w:r>
    </w:p>
    <w:p>
      <w:pPr>
        <w:pStyle w:val="Heading2"/>
        <w:pBdr>
          <w:bottom w:val="single" w:color="2E5F8A" w:sz="4" w:space="2"/>
        </w:pBdr>
        <w:spacing w:after="100" w:before="220"/>
      </w:pPr>
      <w:r>
        <w:rPr>
          <w:rFonts w:ascii="Calibri" w:cs="Calibri" w:eastAsia="Calibri" w:hAnsi="Calibri"/>
          <w:b/>
          <w:bCs/>
          <w:color w:val="1B3A5C"/>
          <w:sz w:val="24"/>
          <w:szCs w:val="24"/>
        </w:rPr>
        <w:t xml:space="preserve">4.3  Balance Sheet Snapshot (1Q26 [IR])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60"/>
        <w:gridCol w:w="5000"/>
      </w:tblGrid>
      <w:tr>
        <w:trPr>
          <w:tblHeader/>
        </w:trPr>
        <w:tc>
          <w:tcPr>
            <w:tcW w:type="dxa" w:w="28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FFFFFF"/>
                <w:sz w:val="20"/>
                <w:szCs w:val="20"/>
              </w:rPr>
              <w:t xml:space="preserve">Item</w:t>
            </w:r>
          </w:p>
        </w:tc>
        <w:tc>
          <w:tcPr>
            <w:tcW w:type="dxa" w:w="156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FFFFFF"/>
                <w:sz w:val="20"/>
                <w:szCs w:val="20"/>
              </w:rPr>
              <w:t xml:space="preserve">Amount</w:t>
            </w:r>
          </w:p>
        </w:tc>
        <w:tc>
          <w:tcPr>
            <w:tcW w:type="dxa" w:w="50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FFFFFF"/>
                <w:sz w:val="20"/>
                <w:szCs w:val="20"/>
              </w:rPr>
              <w:t xml:space="preserve">Notes</w:t>
            </w:r>
          </w:p>
        </w:tc>
      </w:tr>
      <w:tr>
        <w:trPr>
          <w:tblHeader w:val="false"/>
        </w:trP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Cash + Marketable Securities</w:t>
            </w:r>
          </w:p>
        </w:tc>
        <w:tc>
          <w:tcPr>
            <w:tcW w:type="dxa" w:w="156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US$81.2bn</w:t>
            </w:r>
          </w:p>
        </w:tc>
        <w:tc>
          <w:tcPr>
            <w:tcW w:type="dxa" w:w="50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[IR — 1Q26 balance sheet]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Long-term Debt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US$58.7bn</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[IR — 1Q26 balance sheet]</w:t>
            </w:r>
          </w:p>
        </w:tc>
      </w:tr>
      <w:tr>
        <w:trPr>
          <w:tblHeader w:val="false"/>
        </w:trP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Net Cash</w:t>
            </w:r>
          </w:p>
        </w:tc>
        <w:tc>
          <w:tcPr>
            <w:tcW w:type="dxa" w:w="156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~US$22.4bn</w:t>
            </w:r>
          </w:p>
        </w:tc>
        <w:tc>
          <w:tcPr>
            <w:tcW w:type="dxa" w:w="50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Cash - LT Debt [Incrementum calc]</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Market Cap (2026-05-01)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~US$1,551bn</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At US$608.75/share [IR]</w:t>
            </w:r>
          </w:p>
        </w:tc>
      </w:tr>
      <w:tr>
        <w:trPr>
          <w:tblHeader w:val="false"/>
        </w:trP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Enterprise Value</w:t>
            </w:r>
          </w:p>
        </w:tc>
        <w:tc>
          <w:tcPr>
            <w:tcW w:type="dxa" w:w="156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~US$1,529bn</w:t>
            </w:r>
          </w:p>
        </w:tc>
        <w:tc>
          <w:tcPr>
            <w:tcW w:type="dxa" w:w="50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Market Cap - Net Cash [Incrementum calc]</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Diluted Shares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~2,564mm</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[IR]</w:t>
            </w:r>
          </w:p>
        </w:tc>
      </w:tr>
      <w:tr>
        <w:trPr>
          <w:tblHeader w:val="false"/>
        </w:trP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Buybacks FY2025</w:t>
            </w:r>
          </w:p>
        </w:tc>
        <w:tc>
          <w:tcPr>
            <w:tcW w:type="dxa" w:w="156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US$44.6bn</w:t>
            </w:r>
          </w:p>
        </w:tc>
        <w:tc>
          <w:tcPr>
            <w:tcW w:type="dxa" w:w="50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[IR — FY2025 cash flow statement]</w:t>
            </w:r>
          </w:p>
        </w:tc>
      </w:tr>
    </w:tbl>
    <w:p>
      <w:pPr>
        <w:pStyle w:val="Heading1"/>
        <w:pageBreakBefore/>
        <w:shd w:fill="1B3A5C" w:val="clear"/>
        <w:spacing w:after="160" w:before="300"/>
      </w:pPr>
      <w:r>
        <w:rPr>
          <w:rFonts w:ascii="Calibri" w:cs="Calibri" w:eastAsia="Calibri" w:hAnsi="Calibri"/>
          <w:b/>
          <w:bCs/>
          <w:color w:val="FFFFFF"/>
          <w:sz w:val="30"/>
          <w:szCs w:val="30"/>
        </w:rPr>
        <w:t xml:space="preserve">5. COMPARABLE COMPANY ANALYSIS</w:t>
      </w:r>
    </w:p>
    <w:p>
      <w:pPr>
        <w:spacing w:after="80" w:before="80" w:line="280"/>
        <w:jc w:val="left"/>
      </w:pPr>
      <w:r>
        <w:rPr>
          <w:rFonts w:ascii="Calibri" w:cs="Calibri" w:eastAsia="Calibri" w:hAnsi="Calibri"/>
          <w:b w:val="false"/>
          <w:bCs w:val="false"/>
          <w:i w:val="false"/>
          <w:iCs w:val="false"/>
          <w:color w:val="1A1A1A"/>
          <w:sz w:val="22"/>
          <w:szCs w:val="22"/>
        </w:rPr>
        <w:t xml:space="preserve">Advertising-first peers (GOOGL, RDDT) are the core comps. AAPL, MSFT, AMZN, NVDA provide large-cap tech multiple reference. All P/E multiples are consensus estimates [WEB-SCREEN — StockAnalysis/CompaniesMarketCap, approximately 2026-05-01]. Verify via IBKR or Bloomberg before use in investment decisions.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20"/>
        <w:gridCol w:w="1200"/>
        <w:gridCol w:w="1100"/>
        <w:gridCol w:w="1000"/>
        <w:gridCol w:w="1100"/>
        <w:gridCol w:w="2680"/>
      </w:tblGrid>
      <w:tr>
        <w:trPr>
          <w:tblHeader/>
        </w:trPr>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FFFFFF"/>
                <w:sz w:val="20"/>
                <w:szCs w:val="20"/>
              </w:rPr>
              <w:t xml:space="preserve">Company</w:t>
            </w:r>
          </w:p>
        </w:tc>
        <w:tc>
          <w:tcPr>
            <w:tcW w:type="dxa" w:w="7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FFFFFF"/>
                <w:sz w:val="20"/>
                <w:szCs w:val="20"/>
              </w:rPr>
              <w:t xml:space="preserve">Ticker</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FFFFFF"/>
                <w:sz w:val="20"/>
                <w:szCs w:val="20"/>
              </w:rPr>
              <w:t xml:space="preserve">2026E Revenue</w:t>
            </w:r>
          </w:p>
        </w:tc>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FFFFFF"/>
                <w:sz w:val="20"/>
                <w:szCs w:val="20"/>
              </w:rPr>
              <w:t xml:space="preserve">2026E EPS</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FFFFFF"/>
                <w:sz w:val="20"/>
                <w:szCs w:val="20"/>
              </w:rPr>
              <w:t xml:space="preserve">2026E P/E</w:t>
            </w:r>
          </w:p>
        </w:tc>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FFFFFF"/>
                <w:sz w:val="20"/>
                <w:szCs w:val="20"/>
              </w:rPr>
              <w:t xml:space="preserve">Rev Growth</w:t>
            </w:r>
          </w:p>
        </w:tc>
        <w:tc>
          <w:tcPr>
            <w:tcW w:type="dxa" w:w="2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FFFFFF"/>
                <w:sz w:val="20"/>
                <w:szCs w:val="20"/>
              </w:rPr>
              <w:t xml:space="preserve">Segment</w:t>
            </w:r>
          </w:p>
        </w:tc>
      </w:tr>
      <w:tr>
        <w:trPr>
          <w:tblHeader w:val="false"/>
        </w:trPr>
        <w:tc>
          <w:tcPr>
            <w:tcW w:type="dxa" w:w="156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META Platforms</w:t>
            </w:r>
          </w:p>
        </w:tc>
        <w:tc>
          <w:tcPr>
            <w:tcW w:type="dxa" w:w="72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META</w:t>
            </w:r>
          </w:p>
        </w:tc>
        <w:tc>
          <w:tcPr>
            <w:tcW w:type="dxa" w:w="12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~US$238bn</w:t>
            </w:r>
          </w:p>
        </w:tc>
        <w:tc>
          <w:tcPr>
            <w:tcW w:type="dxa" w:w="11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~US$24.50</w:t>
            </w:r>
          </w:p>
        </w:tc>
        <w:tc>
          <w:tcPr>
            <w:tcW w:type="dxa" w:w="10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~19x</w:t>
            </w:r>
          </w:p>
        </w:tc>
        <w:tc>
          <w:tcPr>
            <w:tcW w:type="dxa" w:w="11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+18%</w:t>
            </w:r>
          </w:p>
        </w:tc>
        <w:tc>
          <w:tcPr>
            <w:tcW w:type="dxa" w:w="268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Advertising-first; CAPEX trough</w:t>
            </w:r>
          </w:p>
        </w:tc>
      </w:tr>
      <w:tr>
        <w:trPr>
          <w:tblHeader w:val="false"/>
        </w:trP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Alphabet</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GOOGL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~US$415bn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~US$8.80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~20x</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+12%</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Advertising + Cloud (25% rev)</w:t>
            </w:r>
          </w:p>
        </w:tc>
      </w:tr>
      <w:tr>
        <w:trPr>
          <w:tblHeader w:val="false"/>
        </w:trPr>
        <w:tc>
          <w:tcPr>
            <w:tcW w:type="dxa" w:w="156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Reddit</w:t>
            </w:r>
          </w:p>
        </w:tc>
        <w:tc>
          <w:tcPr>
            <w:tcW w:type="dxa" w:w="72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RDDT</w:t>
            </w:r>
          </w:p>
        </w:tc>
        <w:tc>
          <w:tcPr>
            <w:tcW w:type="dxa" w:w="12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~US$1.5bn</w:t>
            </w:r>
          </w:p>
        </w:tc>
        <w:tc>
          <w:tcPr>
            <w:tcW w:type="dxa" w:w="11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~US$0.90</w:t>
            </w:r>
          </w:p>
        </w:tc>
        <w:tc>
          <w:tcPr>
            <w:tcW w:type="dxa" w:w="10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~40x</w:t>
            </w:r>
          </w:p>
        </w:tc>
        <w:tc>
          <w:tcPr>
            <w:tcW w:type="dxa" w:w="11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+45%</w:t>
            </w:r>
          </w:p>
        </w:tc>
        <w:tc>
          <w:tcPr>
            <w:tcW w:type="dxa" w:w="268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Pure-play social advertising</w:t>
            </w:r>
          </w:p>
        </w:tc>
      </w:tr>
      <w:tr>
        <w:trPr>
          <w:tblHeader w:val="false"/>
        </w:trP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Apple</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AAPL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~US$435bn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~US$7.60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~32x</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+7%</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Large-cap tech ref; hardware+svcs</w:t>
            </w:r>
          </w:p>
        </w:tc>
      </w:tr>
      <w:tr>
        <w:trPr>
          <w:tblHeader w:val="false"/>
        </w:trPr>
        <w:tc>
          <w:tcPr>
            <w:tcW w:type="dxa" w:w="156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Microsoft</w:t>
            </w:r>
          </w:p>
        </w:tc>
        <w:tc>
          <w:tcPr>
            <w:tcW w:type="dxa" w:w="72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MSFT</w:t>
            </w:r>
          </w:p>
        </w:tc>
        <w:tc>
          <w:tcPr>
            <w:tcW w:type="dxa" w:w="12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~US$310bn</w:t>
            </w:r>
          </w:p>
        </w:tc>
        <w:tc>
          <w:tcPr>
            <w:tcW w:type="dxa" w:w="11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~US$14.00</w:t>
            </w:r>
          </w:p>
        </w:tc>
        <w:tc>
          <w:tcPr>
            <w:tcW w:type="dxa" w:w="10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~24x</w:t>
            </w:r>
          </w:p>
        </w:tc>
        <w:tc>
          <w:tcPr>
            <w:tcW w:type="dxa" w:w="11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+14%</w:t>
            </w:r>
          </w:p>
        </w:tc>
        <w:tc>
          <w:tcPr>
            <w:tcW w:type="dxa" w:w="268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Large-cap tech ref; cloud+AI rev</w:t>
            </w:r>
          </w:p>
        </w:tc>
      </w:tr>
      <w:tr>
        <w:trPr>
          <w:tblHeader w:val="false"/>
        </w:trP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Amazon</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AMZN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~US$710bn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~US$6.90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~32x</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+11%</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AWS cloud; retail + advertising</w:t>
            </w:r>
          </w:p>
        </w:tc>
      </w:tr>
      <w:tr>
        <w:trPr>
          <w:tblHeader w:val="false"/>
        </w:trPr>
        <w:tc>
          <w:tcPr>
            <w:tcW w:type="dxa" w:w="156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NVIDIA</w:t>
            </w:r>
          </w:p>
        </w:tc>
        <w:tc>
          <w:tcPr>
            <w:tcW w:type="dxa" w:w="72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NVDA</w:t>
            </w:r>
          </w:p>
        </w:tc>
        <w:tc>
          <w:tcPr>
            <w:tcW w:type="dxa" w:w="12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~US$210bn</w:t>
            </w:r>
          </w:p>
        </w:tc>
        <w:tc>
          <w:tcPr>
            <w:tcW w:type="dxa" w:w="11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~US$3.90</w:t>
            </w:r>
          </w:p>
        </w:tc>
        <w:tc>
          <w:tcPr>
            <w:tcW w:type="dxa" w:w="10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~22x</w:t>
            </w:r>
          </w:p>
        </w:tc>
        <w:tc>
          <w:tcPr>
            <w:tcW w:type="dxa" w:w="11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+55%</w:t>
            </w:r>
          </w:p>
        </w:tc>
        <w:tc>
          <w:tcPr>
            <w:tcW w:type="dxa" w:w="268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Semiconductor; AI infrastructure</w:t>
            </w:r>
          </w:p>
        </w:tc>
      </w:tr>
    </w:tbl>
    <w:p>
      <w:pPr>
        <w:spacing w:after="120" w:before="40"/>
      </w:pPr>
      <w:r>
        <w:rPr>
          <w:rFonts w:ascii="Calibri" w:cs="Calibri" w:eastAsia="Calibri" w:hAnsi="Calibri"/>
          <w:i/>
          <w:iCs/>
          <w:color w:val="666666"/>
          <w:sz w:val="18"/>
          <w:szCs w:val="18"/>
        </w:rPr>
        <w:t xml:space="preserve">Source: All consensus estimates [WEB-SCREEN — StockAnalysis/CompaniesMarketCap, approximately 2026-05-01]. Revenue growth is approximate YoY for FY2026E. Verify via Bloomberg or IBKR before investment decisions.</w:t>
      </w:r>
    </w:p>
    <w:p>
      <w:pPr>
        <w:spacing w:after="100" w:before="100"/>
      </w:pPr>
      <w:r>
        <w:t xml:space="preserve"/>
      </w:r>
    </w:p>
    <w:p>
      <w:pPr>
        <w:pStyle w:val="Heading2"/>
        <w:pBdr>
          <w:bottom w:val="single" w:color="2E5F8A" w:sz="4" w:space="2"/>
        </w:pBdr>
        <w:spacing w:after="100" w:before="220"/>
      </w:pPr>
      <w:r>
        <w:rPr>
          <w:rFonts w:ascii="Calibri" w:cs="Calibri" w:eastAsia="Calibri" w:hAnsi="Calibri"/>
          <w:b/>
          <w:bCs/>
          <w:color w:val="1B3A5C"/>
          <w:sz w:val="24"/>
          <w:szCs w:val="24"/>
        </w:rPr>
        <w:t xml:space="preserve">Key Observations</w:t>
      </w:r>
    </w:p>
    <w:p>
      <w:pPr>
        <w:spacing w:after="40" w:before="40"/>
      </w:pPr>
      <w:r>
        <w:t xml:space="preserve"/>
      </w:r>
    </w:p>
    <w:p>
      <w:pPr>
        <w:pStyle w:val="ListParagraph"/>
        <w:numPr>
          <w:ilvl w:val="0"/>
          <w:numId w:val="2"/>
        </w:numPr>
        <w:spacing w:after="60" w:before="60" w:line="280"/>
      </w:pPr>
      <w:r>
        <w:rPr>
          <w:rFonts w:ascii="Calibri" w:cs="Calibri" w:eastAsia="Calibri" w:hAnsi="Calibri"/>
          <w:color w:val="1A1A1A"/>
          <w:sz w:val="22"/>
          <w:szCs w:val="22"/>
        </w:rPr>
        <w:t xml:space="preserve">(1) META trades at ~19x 2026E P/E — a DISCOUNT to GOOGL (~20x) despite higher revenue growth (+18% vs. +12% for GOOGL) and comparable EBIT margins. This is the core mispricing.</w:t>
      </w:r>
    </w:p>
    <w:p>
      <w:pPr>
        <w:pStyle w:val="ListParagraph"/>
        <w:numPr>
          <w:ilvl w:val="0"/>
          <w:numId w:val="2"/>
        </w:numPr>
        <w:spacing w:after="60" w:before="60" w:line="280"/>
      </w:pPr>
      <w:r>
        <w:rPr>
          <w:rFonts w:ascii="Calibri" w:cs="Calibri" w:eastAsia="Calibri" w:hAnsi="Calibri"/>
          <w:color w:val="1A1A1A"/>
          <w:sz w:val="22"/>
          <w:szCs w:val="22"/>
        </w:rPr>
        <w:t xml:space="preserve">(2) The discount is attributable to: (a) CAPEX concerns — no cloud revenue offset for the US$135bn guide; (b) Reality Labs losses (~US$4bn/quarter EBIT drag); (c) FCF trough in 2026.</w:t>
      </w:r>
    </w:p>
    <w:p>
      <w:pPr>
        <w:pStyle w:val="ListParagraph"/>
        <w:numPr>
          <w:ilvl w:val="0"/>
          <w:numId w:val="2"/>
        </w:numPr>
        <w:spacing w:after="60" w:before="60" w:line="280"/>
      </w:pPr>
      <w:r>
        <w:rPr>
          <w:rFonts w:ascii="Calibri" w:cs="Calibri" w:eastAsia="Calibri" w:hAnsi="Calibri"/>
          <w:color w:val="1A1A1A"/>
          <w:sz w:val="22"/>
          <w:szCs w:val="22"/>
        </w:rPr>
        <w:t xml:space="preserve">(3) Excluding Reality Labs losses, META's advertising business trades at approximately 17-18x 2026E P/E on advertising earnings alone — a meaningful discount to GOOGL's advertising multiple.</w:t>
      </w:r>
    </w:p>
    <w:p>
      <w:pPr>
        <w:pStyle w:val="ListParagraph"/>
        <w:numPr>
          <w:ilvl w:val="0"/>
          <w:numId w:val="2"/>
        </w:numPr>
        <w:spacing w:after="60" w:before="60" w:line="280"/>
      </w:pPr>
      <w:r>
        <w:rPr>
          <w:rFonts w:ascii="Calibri" w:cs="Calibri" w:eastAsia="Calibri" w:hAnsi="Calibri"/>
          <w:color w:val="1A1A1A"/>
          <w:sz w:val="22"/>
          <w:szCs w:val="22"/>
        </w:rPr>
        <w:t xml:space="preserve">(4) RDDT at ~40x P/E represents the market's growth premium for pure-play social advertising at small scale. META's advertising growth at +33% YoY (1Q26) is materially faster than peers — yet trades at the lowest P/E in this comp set.</w:t>
      </w:r>
    </w:p>
    <w:p>
      <w:pPr>
        <w:pStyle w:val="ListParagraph"/>
        <w:numPr>
          <w:ilvl w:val="0"/>
          <w:numId w:val="2"/>
        </w:numPr>
        <w:spacing w:after="60" w:before="60" w:line="280"/>
      </w:pPr>
      <w:r>
        <w:rPr>
          <w:rFonts w:ascii="Calibri" w:cs="Calibri" w:eastAsia="Calibri" w:hAnsi="Calibri"/>
          <w:color w:val="1A1A1A"/>
          <w:sz w:val="22"/>
          <w:szCs w:val="22"/>
        </w:rPr>
        <w:t xml:space="preserve">(5) Re-rating catalyst is NOT AI monetisation (that would be upside surprise on top). It is CAPEX narrative resolution in 2027 — when D&amp;A steps up but revenue grows through it, demonstrating the moat thesis.</w:t>
      </w:r>
    </w:p>
    <w:p>
      <w:pPr>
        <w:pStyle w:val="Heading1"/>
        <w:pageBreakBefore/>
        <w:shd w:fill="1B3A5C" w:val="clear"/>
        <w:spacing w:after="160" w:before="300"/>
      </w:pPr>
      <w:r>
        <w:rPr>
          <w:rFonts w:ascii="Calibri" w:cs="Calibri" w:eastAsia="Calibri" w:hAnsi="Calibri"/>
          <w:b/>
          <w:bCs/>
          <w:color w:val="FFFFFF"/>
          <w:sz w:val="30"/>
          <w:szCs w:val="30"/>
        </w:rPr>
        <w:t xml:space="preserve">6. VALUATION AND FAIR VALUE ANALYSIS</w:t>
      </w:r>
    </w:p>
    <w:p>
      <w:pPr>
        <w:pStyle w:val="Heading2"/>
        <w:pBdr>
          <w:bottom w:val="single" w:color="2E5F8A" w:sz="4" w:space="2"/>
        </w:pBdr>
        <w:spacing w:after="100" w:before="220"/>
      </w:pPr>
      <w:r>
        <w:rPr>
          <w:rFonts w:ascii="Calibri" w:cs="Calibri" w:eastAsia="Calibri" w:hAnsi="Calibri"/>
          <w:b/>
          <w:bCs/>
          <w:color w:val="1B3A5C"/>
          <w:sz w:val="24"/>
          <w:szCs w:val="24"/>
        </w:rPr>
        <w:t xml:space="preserve">6.1  WACC Documentation</w:t>
      </w:r>
    </w:p>
    <w:p>
      <w:pPr>
        <w:spacing w:after="80" w:before="80" w:line="280"/>
        <w:jc w:val="left"/>
      </w:pPr>
      <w:r>
        <w:rPr>
          <w:rFonts w:ascii="Calibri" w:cs="Calibri" w:eastAsia="Calibri" w:hAnsi="Calibri"/>
          <w:b w:val="false"/>
          <w:bCs w:val="false"/>
          <w:i w:val="false"/>
          <w:iCs w:val="false"/>
          <w:color w:val="1A1A1A"/>
          <w:sz w:val="22"/>
          <w:szCs w:val="22"/>
        </w:rPr>
        <w:t xml:space="preserve">This resolves the associate's v8 ressalva regarding undocumented discount rate. All inputs sourced or explicitly flagged as estimates.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FFFFFF"/>
                <w:sz w:val="20"/>
                <w:szCs w:val="20"/>
              </w:rPr>
              <w:t xml:space="preserve">Parameter</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FFFFFF"/>
                <w:sz w:val="20"/>
                <w:szCs w:val="20"/>
              </w:rPr>
              <w:t xml:space="preserve">Value</w:t>
            </w:r>
          </w:p>
        </w:tc>
        <w:tc>
          <w:tcPr>
            <w:tcW w:type="dxa" w:w="3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FFFFFF"/>
                <w:sz w:val="20"/>
                <w:szCs w:val="20"/>
              </w:rPr>
              <w:t xml:space="preserve">Source</w:t>
            </w:r>
          </w:p>
        </w:tc>
      </w:tr>
      <w:tr>
        <w:trPr>
          <w:tblHeader w:val="false"/>
        </w:trP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Risk-free rate (Rf)</w:t>
            </w:r>
          </w:p>
        </w:tc>
        <w:tc>
          <w:tcPr>
            <w:tcW w:type="dxa" w:w="30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4.40%</w:t>
            </w:r>
          </w:p>
        </w:tc>
        <w:tc>
          <w:tcPr>
            <w:tcW w:type="dxa" w:w="356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 10yr Treasury yield, ~2026-05-01 [WEB-SCREEN]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Equity Risk Premium (ERP)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5.50%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Damodaran US ERP estimate [WEB-SCREEN — damodaran.com, 2026]</w:t>
            </w:r>
          </w:p>
        </w:tc>
      </w:tr>
      <w:tr>
        <w:trPr>
          <w:tblHeader w:val="false"/>
        </w:trP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Beta (5yr monthly vs. S&amp;P 500)</w:t>
            </w:r>
          </w:p>
        </w:tc>
        <w:tc>
          <w:tcPr>
            <w:tcW w:type="dxa" w:w="30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1.15</w:t>
            </w:r>
          </w:p>
        </w:tc>
        <w:tc>
          <w:tcPr>
            <w:tcW w:type="dxa" w:w="356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[WEB-SCREEN — approximate; verify Bloomberg]</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Cost of Equity = Rf + β × ERP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4.40% + (1.15 × 5.50%) = 10.73%</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CAPM calculation [Incrementum est.]</w:t>
            </w:r>
          </w:p>
        </w:tc>
      </w:tr>
      <w:tr>
        <w:trPr>
          <w:tblHeader w:val="false"/>
        </w:trP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LT Debt (1Q26)</w:t>
            </w:r>
          </w:p>
        </w:tc>
        <w:tc>
          <w:tcPr>
            <w:tcW w:type="dxa" w:w="30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US$58.7bn</w:t>
            </w:r>
          </w:p>
        </w:tc>
        <w:tc>
          <w:tcPr>
            <w:tcW w:type="dxa" w:w="356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[IR — 1Q26 balance sheet]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Blended bond coupon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~5.5%</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[WEB-SCREEN — bond market data; verify]</w:t>
            </w:r>
          </w:p>
        </w:tc>
      </w:tr>
      <w:tr>
        <w:trPr>
          <w:tblHeader w:val="false"/>
        </w:trP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Post-tax cost of debt = 5.5% × (1-21%)</w:t>
            </w:r>
          </w:p>
        </w:tc>
        <w:tc>
          <w:tcPr>
            <w:tcW w:type="dxa" w:w="30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4.35%</w:t>
            </w:r>
          </w:p>
        </w:tc>
        <w:tc>
          <w:tcPr>
            <w:tcW w:type="dxa" w:w="356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[Incrementum est.]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Market Cap weight (equity)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96.4% (US$1,551bn / US$1,609.7bn)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[Incrementum calc]</w:t>
            </w:r>
          </w:p>
        </w:tc>
      </w:tr>
      <w:tr>
        <w:trPr>
          <w:tblHeader w:val="false"/>
        </w:trP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Debt weight</w:t>
            </w:r>
          </w:p>
        </w:tc>
        <w:tc>
          <w:tcPr>
            <w:tcW w:type="dxa" w:w="30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3.6% (US$58.7bn / US$1,609.7bn)</w:t>
            </w:r>
          </w:p>
        </w:tc>
        <w:tc>
          <w:tcPr>
            <w:tcW w:type="dxa" w:w="356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[Incrementum calc]</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WACC = (96.4% × 10.73%) + (3.6% × 4.35%)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10.34% + 0.16% = 10.50%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[Incrementum calc]</w:t>
            </w:r>
          </w:p>
        </w:tc>
      </w:tr>
      <w:tr>
        <w:trPr>
          <w:tblHeader w:val="false"/>
        </w:trP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APPLIED WACC (conservative)</w:t>
            </w:r>
          </w:p>
        </w:tc>
        <w:tc>
          <w:tcPr>
            <w:tcW w:type="dxa" w:w="30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11.0%</w:t>
            </w:r>
          </w:p>
        </w:tc>
        <w:tc>
          <w:tcPr>
            <w:tcW w:type="dxa" w:w="356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Rounded up; incorporates model uncertainty premium [Incrementum est.]</w:t>
            </w:r>
          </w:p>
        </w:tc>
      </w:tr>
    </w:tbl>
    <w:p>
      <w:pPr>
        <w:spacing w:after="120" w:before="40"/>
      </w:pPr>
      <w:r>
        <w:rPr>
          <w:rFonts w:ascii="Calibri" w:cs="Calibri" w:eastAsia="Calibri" w:hAnsi="Calibri"/>
          <w:i/>
          <w:iCs/>
          <w:color w:val="666666"/>
          <w:sz w:val="18"/>
          <w:szCs w:val="18"/>
        </w:rPr>
        <w:t xml:space="preserve">Source: Incrementum est. Note: 10% WACC is also defensible given META's near-zero net leverage. 11% used throughout this memo as conservative floor.</w:t>
      </w:r>
    </w:p>
    <w:p>
      <w:pPr>
        <w:spacing w:after="100" w:before="100"/>
      </w:pPr>
      <w:r>
        <w:t xml:space="preserve"/>
      </w:r>
    </w:p>
    <w:p>
      <w:pPr>
        <w:pStyle w:val="Heading2"/>
        <w:pBdr>
          <w:bottom w:val="single" w:color="2E5F8A" w:sz="4" w:space="2"/>
        </w:pBdr>
        <w:spacing w:after="100" w:before="220"/>
      </w:pPr>
      <w:r>
        <w:rPr>
          <w:rFonts w:ascii="Calibri" w:cs="Calibri" w:eastAsia="Calibri" w:hAnsi="Calibri"/>
          <w:b/>
          <w:bCs/>
          <w:color w:val="1B3A5C"/>
          <w:sz w:val="24"/>
          <w:szCs w:val="24"/>
        </w:rPr>
        <w:t xml:space="preserve">6.2  P/E Valuation — Primary Methodology</w:t>
      </w:r>
    </w:p>
    <w:p>
      <w:pPr>
        <w:spacing w:after="80" w:before="80" w:line="280"/>
        <w:jc w:val="left"/>
      </w:pPr>
      <w:r>
        <w:rPr>
          <w:rFonts w:ascii="Calibri" w:cs="Calibri" w:eastAsia="Calibri" w:hAnsi="Calibri"/>
          <w:b w:val="false"/>
          <w:bCs w:val="false"/>
          <w:i w:val="false"/>
          <w:iCs w:val="false"/>
          <w:color w:val="1A1A1A"/>
          <w:sz w:val="22"/>
          <w:szCs w:val="22"/>
        </w:rPr>
        <w:t xml:space="preserve">Five-year EPS projections with D&amp;A sensitivity. P/E is the primary valuation methodology per Eduardo's instruction.</w:t>
      </w:r>
    </w:p>
    <w:p>
      <w:pPr>
        <w:spacing w:after="60" w:before="60"/>
      </w:pPr>
      <w:r>
        <w:t xml:space="preserve"/>
      </w:r>
    </w:p>
    <w:p>
      <w:pPr>
        <w:pStyle w:val="Heading3"/>
        <w:spacing w:after="80" w:before="160"/>
      </w:pPr>
      <w:r>
        <w:rPr>
          <w:rFonts w:ascii="Calibri" w:cs="Calibri" w:eastAsia="Calibri" w:hAnsi="Calibri"/>
          <w:b/>
          <w:bCs/>
          <w:color w:val="2E5F8A"/>
          <w:sz w:val="22"/>
          <w:szCs w:val="22"/>
        </w:rPr>
        <w:t xml:space="preserve">Base Case Assumptions</w:t>
      </w:r>
    </w:p>
    <w:p>
      <w:pPr>
        <w:pStyle w:val="ListParagraph"/>
        <w:numPr>
          <w:ilvl w:val="0"/>
          <w:numId w:val="2"/>
        </w:numPr>
        <w:spacing w:after="60" w:before="60" w:line="280"/>
      </w:pPr>
      <w:r>
        <w:rPr>
          <w:rFonts w:ascii="Calibri" w:cs="Calibri" w:eastAsia="Calibri" w:hAnsi="Calibri"/>
          <w:color w:val="1A1A1A"/>
          <w:sz w:val="22"/>
          <w:szCs w:val="22"/>
        </w:rPr>
        <w:t xml:space="preserve">Revenue CAGR 2025A-2030E: +20% (decelerating from +22% in 2025A to ~+15% in 2030E)</w:t>
      </w:r>
    </w:p>
    <w:p>
      <w:pPr>
        <w:pStyle w:val="ListParagraph"/>
        <w:numPr>
          <w:ilvl w:val="0"/>
          <w:numId w:val="2"/>
        </w:numPr>
        <w:spacing w:after="60" w:before="60" w:line="280"/>
      </w:pPr>
      <w:r>
        <w:rPr>
          <w:rFonts w:ascii="Calibri" w:cs="Calibri" w:eastAsia="Calibri" w:hAnsi="Calibri"/>
          <w:color w:val="1A1A1A"/>
          <w:sz w:val="22"/>
          <w:szCs w:val="22"/>
        </w:rPr>
        <w:t xml:space="preserve">EBIT margin: 35.7% trough in 2026E recovering to 40% by 2028E as CAPEX moderates</w:t>
      </w:r>
    </w:p>
    <w:p>
      <w:pPr>
        <w:pStyle w:val="ListParagraph"/>
        <w:numPr>
          <w:ilvl w:val="0"/>
          <w:numId w:val="2"/>
        </w:numPr>
        <w:spacing w:after="60" w:before="60" w:line="280"/>
      </w:pPr>
      <w:r>
        <w:rPr>
          <w:rFonts w:ascii="Calibri" w:cs="Calibri" w:eastAsia="Calibri" w:hAnsi="Calibri"/>
          <w:color w:val="1A1A1A"/>
          <w:sz w:val="22"/>
          <w:szCs w:val="22"/>
        </w:rPr>
        <w:t xml:space="preserve">Effective tax rate: ~21%</w:t>
      </w:r>
    </w:p>
    <w:p>
      <w:pPr>
        <w:pStyle w:val="ListParagraph"/>
        <w:numPr>
          <w:ilvl w:val="0"/>
          <w:numId w:val="2"/>
        </w:numPr>
        <w:spacing w:after="60" w:before="60" w:line="280"/>
      </w:pPr>
      <w:r>
        <w:rPr>
          <w:rFonts w:ascii="Calibri" w:cs="Calibri" w:eastAsia="Calibri" w:hAnsi="Calibri"/>
          <w:color w:val="1A1A1A"/>
          <w:sz w:val="22"/>
          <w:szCs w:val="22"/>
        </w:rPr>
        <w:t xml:space="preserve">Diluted shares: flat to slightly declining (buybacks offsetting SBC dilution)</w:t>
      </w:r>
    </w:p>
    <w:p>
      <w:pPr>
        <w:pStyle w:val="ListParagraph"/>
        <w:numPr>
          <w:ilvl w:val="0"/>
          <w:numId w:val="2"/>
        </w:numPr>
        <w:spacing w:after="60" w:before="60" w:line="280"/>
      </w:pPr>
      <w:r>
        <w:rPr>
          <w:rFonts w:ascii="Calibri" w:cs="Calibri" w:eastAsia="Calibri" w:hAnsi="Calibri"/>
          <w:color w:val="1A1A1A"/>
          <w:sz w:val="22"/>
          <w:szCs w:val="22"/>
        </w:rPr>
        <w:t xml:space="preserve">D&amp;A: 7-year useful life blended assumption (Base Case)</w:t>
      </w:r>
    </w:p>
    <w:p>
      <w:pPr>
        <w:spacing w:after="80" w:before="80"/>
      </w:pPr>
      <w:r>
        <w:t xml:space="preserve"/>
      </w:r>
    </w:p>
    <w:p>
      <w:pPr>
        <w:pStyle w:val="Heading3"/>
        <w:spacing w:after="80" w:before="160"/>
      </w:pPr>
      <w:r>
        <w:rPr>
          <w:rFonts w:ascii="Calibri" w:cs="Calibri" w:eastAsia="Calibri" w:hAnsi="Calibri"/>
          <w:b/>
          <w:bCs/>
          <w:color w:val="2E5F8A"/>
          <w:sz w:val="22"/>
          <w:szCs w:val="22"/>
        </w:rPr>
        <w:t xml:space="preserve">EPS Projections (Incrementum est.)</w:t>
      </w:r>
    </w:p>
    <w:tbl>
      <w:tblPr>
        <w:tblW w:type="dxa" w:w="8040"/>
        <w:tblBorders>
          <w:top w:val="single" w:color="auto" w:sz="4"/>
          <w:left w:val="single" w:color="auto" w:sz="4"/>
          <w:bottom w:val="single" w:color="auto" w:sz="4"/>
          <w:right w:val="single" w:color="auto" w:sz="4"/>
          <w:insideH w:val="single" w:color="auto" w:sz="4"/>
          <w:insideV w:val="single" w:color="auto" w:sz="4"/>
        </w:tblBorders>
      </w:tblPr>
      <w:tblGrid>
        <w:gridCol w:w="720"/>
        <w:gridCol w:w="1100"/>
        <w:gridCol w:w="720"/>
        <w:gridCol w:w="1100"/>
        <w:gridCol w:w="1300"/>
        <w:gridCol w:w="900"/>
        <w:gridCol w:w="1100"/>
        <w:gridCol w:w="1100"/>
      </w:tblGrid>
      <w:tr>
        <w:trPr>
          <w:tblHeader/>
        </w:trPr>
        <w:tc>
          <w:tcPr>
            <w:tcW w:type="dxa" w:w="7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FFFFFF"/>
                <w:sz w:val="20"/>
                <w:szCs w:val="20"/>
              </w:rPr>
              <w:t xml:space="preserve">Year</w:t>
            </w:r>
          </w:p>
        </w:tc>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FFFFFF"/>
                <w:sz w:val="20"/>
                <w:szCs w:val="20"/>
              </w:rPr>
              <w:t xml:space="preserve">Revenue (bn)</w:t>
            </w:r>
          </w:p>
        </w:tc>
        <w:tc>
          <w:tcPr>
            <w:tcW w:type="dxa" w:w="7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FFFFFF"/>
                <w:sz w:val="20"/>
                <w:szCs w:val="20"/>
              </w:rPr>
              <w:t xml:space="preserve">EBIT%</w:t>
            </w:r>
          </w:p>
        </w:tc>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FFFFFF"/>
                <w:sz w:val="20"/>
                <w:szCs w:val="20"/>
              </w:rPr>
              <w:t xml:space="preserve">EBIT (bn)</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FFFFFF"/>
                <w:sz w:val="20"/>
                <w:szCs w:val="20"/>
              </w:rPr>
              <w:t xml:space="preserve">Net Income (bn)</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FFFFFF"/>
                <w:sz w:val="20"/>
                <w:szCs w:val="20"/>
              </w:rPr>
              <w:t xml:space="preserve">Shares (mm)</w:t>
            </w:r>
          </w:p>
        </w:tc>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FFFFFF"/>
                <w:sz w:val="20"/>
                <w:szCs w:val="20"/>
              </w:rPr>
              <w:t xml:space="preserve">EPS Base</w:t>
            </w:r>
          </w:p>
        </w:tc>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FFFFFF"/>
                <w:sz w:val="20"/>
                <w:szCs w:val="20"/>
              </w:rPr>
              <w:t xml:space="preserve">EPS D&amp;A High</w:t>
            </w:r>
          </w:p>
        </w:tc>
      </w:tr>
      <w:tr>
        <w:trPr>
          <w:tblHeader w:val="false"/>
        </w:trPr>
        <w:tc>
          <w:tcPr>
            <w:tcW w:type="dxa" w:w="72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2026E</w:t>
            </w:r>
          </w:p>
        </w:tc>
        <w:tc>
          <w:tcPr>
            <w:tcW w:type="dxa" w:w="11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US$238</w:t>
            </w:r>
          </w:p>
        </w:tc>
        <w:tc>
          <w:tcPr>
            <w:tcW w:type="dxa" w:w="72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35.7%</w:t>
            </w:r>
          </w:p>
        </w:tc>
        <w:tc>
          <w:tcPr>
            <w:tcW w:type="dxa" w:w="11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US$85</w:t>
            </w:r>
          </w:p>
        </w:tc>
        <w:tc>
          <w:tcPr>
            <w:tcW w:type="dxa" w:w="13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US$67</w:t>
            </w:r>
          </w:p>
        </w:tc>
        <w:tc>
          <w:tcPr>
            <w:tcW w:type="dxa" w:w="9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2,564</w:t>
            </w:r>
          </w:p>
        </w:tc>
        <w:tc>
          <w:tcPr>
            <w:tcW w:type="dxa" w:w="11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US$24.50</w:t>
            </w:r>
          </w:p>
        </w:tc>
        <w:tc>
          <w:tcPr>
            <w:tcW w:type="dxa" w:w="11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US$22.00</w:t>
            </w:r>
          </w:p>
        </w:tc>
      </w:tr>
      <w:tr>
        <w:trPr>
          <w:tblHeader w:val="false"/>
        </w:trP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2027E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US$278</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37.8%</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US$105</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US$83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2,550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US$30.00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US$26.00</w:t>
            </w:r>
          </w:p>
        </w:tc>
      </w:tr>
      <w:tr>
        <w:trPr>
          <w:tblHeader w:val="false"/>
        </w:trPr>
        <w:tc>
          <w:tcPr>
            <w:tcW w:type="dxa" w:w="72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2028E</w:t>
            </w:r>
          </w:p>
        </w:tc>
        <w:tc>
          <w:tcPr>
            <w:tcW w:type="dxa" w:w="11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US$325</w:t>
            </w:r>
          </w:p>
        </w:tc>
        <w:tc>
          <w:tcPr>
            <w:tcW w:type="dxa" w:w="72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40.0%</w:t>
            </w:r>
          </w:p>
        </w:tc>
        <w:tc>
          <w:tcPr>
            <w:tcW w:type="dxa" w:w="11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US$130</w:t>
            </w:r>
          </w:p>
        </w:tc>
        <w:tc>
          <w:tcPr>
            <w:tcW w:type="dxa" w:w="13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US$103</w:t>
            </w:r>
          </w:p>
        </w:tc>
        <w:tc>
          <w:tcPr>
            <w:tcW w:type="dxa" w:w="9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2,530</w:t>
            </w:r>
          </w:p>
        </w:tc>
        <w:tc>
          <w:tcPr>
            <w:tcW w:type="dxa" w:w="11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US$38.00</w:t>
            </w:r>
          </w:p>
        </w:tc>
        <w:tc>
          <w:tcPr>
            <w:tcW w:type="dxa" w:w="11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US$28.00</w:t>
            </w:r>
          </w:p>
        </w:tc>
      </w:tr>
      <w:tr>
        <w:trPr>
          <w:tblHeader w:val="false"/>
        </w:trP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2029E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US$374</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42.0%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US$157</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US$124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2,510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US$46.00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US$38.00</w:t>
            </w:r>
          </w:p>
        </w:tc>
      </w:tr>
      <w:tr>
        <w:trPr>
          <w:tblHeader w:val="false"/>
        </w:trPr>
        <w:tc>
          <w:tcPr>
            <w:tcW w:type="dxa" w:w="72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2030E</w:t>
            </w:r>
          </w:p>
        </w:tc>
        <w:tc>
          <w:tcPr>
            <w:tcW w:type="dxa" w:w="11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US$420</w:t>
            </w:r>
          </w:p>
        </w:tc>
        <w:tc>
          <w:tcPr>
            <w:tcW w:type="dxa" w:w="72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43.0%</w:t>
            </w:r>
          </w:p>
        </w:tc>
        <w:tc>
          <w:tcPr>
            <w:tcW w:type="dxa" w:w="11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US$181</w:t>
            </w:r>
          </w:p>
        </w:tc>
        <w:tc>
          <w:tcPr>
            <w:tcW w:type="dxa" w:w="13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US$143</w:t>
            </w:r>
          </w:p>
        </w:tc>
        <w:tc>
          <w:tcPr>
            <w:tcW w:type="dxa" w:w="9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2,490</w:t>
            </w:r>
          </w:p>
        </w:tc>
        <w:tc>
          <w:tcPr>
            <w:tcW w:type="dxa" w:w="11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US$53.00</w:t>
            </w:r>
          </w:p>
        </w:tc>
        <w:tc>
          <w:tcPr>
            <w:tcW w:type="dxa" w:w="11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US$45.00</w:t>
            </w:r>
          </w:p>
        </w:tc>
      </w:tr>
    </w:tbl>
    <w:p>
      <w:pPr>
        <w:spacing w:after="120" w:before="40"/>
      </w:pPr>
      <w:r>
        <w:rPr>
          <w:rFonts w:ascii="Calibri" w:cs="Calibri" w:eastAsia="Calibri" w:hAnsi="Calibri"/>
          <w:i/>
          <w:iCs/>
          <w:color w:val="666666"/>
          <w:sz w:val="18"/>
          <w:szCs w:val="18"/>
        </w:rPr>
        <w:t xml:space="preserve">Source: All Incrementum est. EPS D&amp;A High: D&amp;A reaches US$48bn by 2028E (5-yr useful life) vs. US$40bn base (7-yr). Note D&amp;A High normalises by 2029-2030E as CAPEX moderates and depreciation roll-off begins.</w:t>
      </w:r>
    </w:p>
    <w:p>
      <w:pPr>
        <w:spacing w:after="80" w:before="80"/>
      </w:pPr>
      <w:r>
        <w:t xml:space="preserve"/>
      </w:r>
    </w:p>
    <w:p>
      <w:pPr>
        <w:pStyle w:val="Heading3"/>
        <w:spacing w:after="80" w:before="160"/>
      </w:pPr>
      <w:r>
        <w:rPr>
          <w:rFonts w:ascii="Calibri" w:cs="Calibri" w:eastAsia="Calibri" w:hAnsi="Calibri"/>
          <w:b/>
          <w:bCs/>
          <w:color w:val="2E5F8A"/>
          <w:sz w:val="22"/>
          <w:szCs w:val="22"/>
        </w:rPr>
        <w:t xml:space="preserve">P/E Scenario Table — Applied to 2028E EPS (2-year horizon)</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1000"/>
        <w:gridCol w:w="1100"/>
        <w:gridCol w:w="1200"/>
        <w:gridCol w:w="4060"/>
      </w:tblGrid>
      <w:tr>
        <w:trPr>
          <w:tblHeader/>
        </w:trP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FFFFFF"/>
                <w:sz w:val="20"/>
                <w:szCs w:val="20"/>
              </w:rPr>
              <w:t xml:space="preserve">Scenario</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FFFFFF"/>
                <w:sz w:val="20"/>
                <w:szCs w:val="20"/>
              </w:rPr>
              <w:t xml:space="preserve">2028E EPS</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FFFFFF"/>
                <w:sz w:val="20"/>
                <w:szCs w:val="20"/>
              </w:rPr>
              <w:t xml:space="preserve">Applied P/E</w:t>
            </w:r>
          </w:p>
        </w:tc>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FFFFFF"/>
                <w:sz w:val="20"/>
                <w:szCs w:val="20"/>
              </w:rPr>
              <w:t xml:space="preserve">Implied Price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FFFFFF"/>
                <w:sz w:val="20"/>
                <w:szCs w:val="20"/>
              </w:rPr>
              <w:t xml:space="preserve">IRR vs US$609 (2yr)</w:t>
            </w:r>
          </w:p>
        </w:tc>
        <w:tc>
          <w:tcPr>
            <w:tcW w:type="dxa" w:w="40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FFFFFF"/>
                <w:sz w:val="20"/>
                <w:szCs w:val="20"/>
              </w:rPr>
              <w:t xml:space="preserve">P/E Rationale</w:t>
            </w:r>
          </w:p>
        </w:tc>
      </w:tr>
      <w:tr>
        <w:trPr>
          <w:tblHeader w:val="false"/>
        </w:trPr>
        <w:tc>
          <w:tcPr>
            <w:tcW w:type="dxa" w:w="12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Bear — D&amp;A trap</w:t>
            </w:r>
          </w:p>
        </w:tc>
        <w:tc>
          <w:tcPr>
            <w:tcW w:type="dxa" w:w="10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US$24.00</w:t>
            </w:r>
          </w:p>
        </w:tc>
        <w:tc>
          <w:tcPr>
            <w:tcW w:type="dxa" w:w="10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15x</w:t>
            </w:r>
          </w:p>
        </w:tc>
        <w:tc>
          <w:tcPr>
            <w:tcW w:type="dxa" w:w="11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US$360</w:t>
            </w:r>
          </w:p>
        </w:tc>
        <w:tc>
          <w:tcPr>
            <w:tcW w:type="dxa" w:w="12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-22%/yr</w:t>
            </w:r>
          </w:p>
        </w:tc>
        <w:tc>
          <w:tcPr>
            <w:tcW w:type="dxa" w:w="406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D&amp;A trap materialises; market applies non-cloud hyperscaler discount (analogous to 2022 trough 9-11x but less extreme)</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Bear — base D&amp;A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US$28.00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16x</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US$448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-14%/yr</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Base D&amp;A (US$40bn) but lower margin/revenue. CAPEX cycle underwhelms but does not catastrophically fail.</w:t>
            </w:r>
          </w:p>
        </w:tc>
      </w:tr>
      <w:tr>
        <w:trPr>
          <w:tblHeader w:val="false"/>
        </w:trPr>
        <w:tc>
          <w:tcPr>
            <w:tcW w:type="dxa" w:w="12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Base</w:t>
            </w:r>
          </w:p>
        </w:tc>
        <w:tc>
          <w:tcPr>
            <w:tcW w:type="dxa" w:w="10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US$34.00</w:t>
            </w:r>
          </w:p>
        </w:tc>
        <w:tc>
          <w:tcPr>
            <w:tcW w:type="dxa" w:w="10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22x</w:t>
            </w:r>
          </w:p>
        </w:tc>
        <w:tc>
          <w:tcPr>
            <w:tcW w:type="dxa" w:w="11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US$748</w:t>
            </w:r>
          </w:p>
        </w:tc>
        <w:tc>
          <w:tcPr>
            <w:tcW w:type="dxa" w:w="12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+11%/yr</w:t>
            </w:r>
          </w:p>
        </w:tc>
        <w:tc>
          <w:tcPr>
            <w:tcW w:type="dxa" w:w="406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5-year avg P/E (ex-2022 trough). CAPEX narrative partially resolves. Consistent with GOOGL current multiple.</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Bull — D&amp;A benign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US$43.00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27x</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US$1,161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+38%/yr</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MSFT-style premium. AI monetisation inflects (Meta AI subs, Llama API). META 2021 traded 25-35x.</w:t>
            </w:r>
          </w:p>
        </w:tc>
      </w:tr>
    </w:tbl>
    <w:p>
      <w:pPr>
        <w:spacing w:after="120" w:before="40"/>
      </w:pPr>
      <w:r>
        <w:rPr>
          <w:rFonts w:ascii="Calibri" w:cs="Calibri" w:eastAsia="Calibri" w:hAnsi="Calibri"/>
          <w:i/>
          <w:iCs/>
          <w:color w:val="666666"/>
          <w:sz w:val="18"/>
          <w:szCs w:val="18"/>
        </w:rPr>
        <w:t xml:space="preserve">Source: Incrementum est. All scenario prices are 2028E-implied. IRR calculated over 2-year holding period from 2026-05-04.</w:t>
      </w:r>
    </w:p>
    <w:p>
      <w:pPr>
        <w:spacing w:after="100" w:before="100"/>
      </w:pPr>
      <w:r>
        <w:t xml:space="preserve"/>
      </w:r>
    </w:p>
    <w:p>
      <w:pPr>
        <w:pStyle w:val="Heading2"/>
        <w:pBdr>
          <w:bottom w:val="single" w:color="2E5F8A" w:sz="4" w:space="2"/>
        </w:pBdr>
        <w:spacing w:after="100" w:before="220"/>
      </w:pPr>
      <w:r>
        <w:rPr>
          <w:rFonts w:ascii="Calibri" w:cs="Calibri" w:eastAsia="Calibri" w:hAnsi="Calibri"/>
          <w:b/>
          <w:bCs/>
          <w:color w:val="1B3A5C"/>
          <w:sz w:val="24"/>
          <w:szCs w:val="24"/>
        </w:rPr>
        <w:t xml:space="preserve">6.3  DCF Floor — Complementary Methodology</w:t>
      </w:r>
    </w:p>
    <w:p>
      <w:pPr>
        <w:spacing w:after="80" w:before="80" w:line="280"/>
        <w:jc w:val="left"/>
      </w:pPr>
      <w:r>
        <w:rPr>
          <w:rFonts w:ascii="Calibri" w:cs="Calibri" w:eastAsia="Calibri" w:hAnsi="Calibri"/>
          <w:b w:val="false"/>
          <w:bCs w:val="false"/>
          <w:i w:val="false"/>
          <w:iCs w:val="false"/>
          <w:color w:val="1A1A1A"/>
          <w:sz w:val="22"/>
          <w:szCs w:val="22"/>
        </w:rPr>
        <w:t xml:space="preserve">DCF used as a floor check, not primary valuation. Methodology: 5-year explicit FCF + Gordon Growth terminal value.</w:t>
      </w:r>
    </w:p>
    <w:p>
      <w:pPr>
        <w:spacing w:after="60" w:before="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1300"/>
        <w:gridCol w:w="1420"/>
      </w:tblGrid>
      <w:tr>
        <w:trPr>
          <w:tblHeader/>
        </w:trP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FFFFFF"/>
                <w:sz w:val="20"/>
                <w:szCs w:val="20"/>
              </w:rPr>
              <w:t xml:space="preserve">Year</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FFFFFF"/>
                <w:sz w:val="20"/>
                <w:szCs w:val="20"/>
              </w:rPr>
              <w:t xml:space="preserve">FCF</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FFFFFF"/>
                <w:sz w:val="20"/>
                <w:szCs w:val="20"/>
              </w:rPr>
              <w:t xml:space="preserve">Discount Factor (11%)</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FFFFFF"/>
                <w:sz w:val="20"/>
                <w:szCs w:val="20"/>
              </w:rPr>
              <w:t xml:space="preserve">PV of FCF</w:t>
            </w:r>
          </w:p>
        </w:tc>
        <w:tc>
          <w:tcPr>
            <w:tcW w:type="dxa" w:w="14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FFFFFF"/>
                <w:sz w:val="20"/>
                <w:szCs w:val="20"/>
              </w:rPr>
              <w:t xml:space="preserve">Notes</w:t>
            </w:r>
          </w:p>
        </w:tc>
      </w:tr>
      <w:tr>
        <w:trPr>
          <w:tblHeader w:val="false"/>
        </w:trPr>
        <w:tc>
          <w:tcPr>
            <w:tcW w:type="dxa" w:w="30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2026E</w:t>
            </w:r>
          </w:p>
        </w:tc>
        <w:tc>
          <w:tcPr>
            <w:tcW w:type="dxa" w:w="20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US$(15)bn</w:t>
            </w:r>
          </w:p>
        </w:tc>
        <w:tc>
          <w:tcPr>
            <w:tcW w:type="dxa" w:w="20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 1.110</w:t>
            </w:r>
          </w:p>
        </w:tc>
        <w:tc>
          <w:tcPr>
            <w:tcW w:type="dxa" w:w="13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US$(14)bn</w:t>
            </w:r>
          </w:p>
        </w:tc>
        <w:tc>
          <w:tcPr>
            <w:tcW w:type="dxa" w:w="142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CAPEX trough; near-zero or negative FCF</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2027E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US$35bn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 1.232</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US$28bn</w:t>
            </w:r>
          </w:p>
        </w:tc>
        <w:tc>
          <w:tcPr>
            <w:tcW w:type="dxa" w:w="1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CAPEX begins normalising</w:t>
            </w:r>
          </w:p>
        </w:tc>
      </w:tr>
      <w:tr>
        <w:trPr>
          <w:tblHeader w:val="false"/>
        </w:trPr>
        <w:tc>
          <w:tcPr>
            <w:tcW w:type="dxa" w:w="30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2028E</w:t>
            </w:r>
          </w:p>
        </w:tc>
        <w:tc>
          <w:tcPr>
            <w:tcW w:type="dxa" w:w="20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US$80bn</w:t>
            </w:r>
          </w:p>
        </w:tc>
        <w:tc>
          <w:tcPr>
            <w:tcW w:type="dxa" w:w="20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 1.368</w:t>
            </w:r>
          </w:p>
        </w:tc>
        <w:tc>
          <w:tcPr>
            <w:tcW w:type="dxa" w:w="13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US$58bn</w:t>
            </w:r>
          </w:p>
        </w:tc>
        <w:tc>
          <w:tcPr>
            <w:tcW w:type="dxa" w:w="142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Thesis payoff year</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2029E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US$115bn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 1.518</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US$76bn</w:t>
            </w:r>
          </w:p>
        </w:tc>
        <w:tc>
          <w:tcPr>
            <w:tcW w:type="dxa" w:w="1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FCF approaching normalised level</w:t>
            </w:r>
          </w:p>
        </w:tc>
      </w:tr>
      <w:tr>
        <w:trPr>
          <w:tblHeader w:val="false"/>
        </w:trPr>
        <w:tc>
          <w:tcPr>
            <w:tcW w:type="dxa" w:w="30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2030E</w:t>
            </w:r>
          </w:p>
        </w:tc>
        <w:tc>
          <w:tcPr>
            <w:tcW w:type="dxa" w:w="20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US$140bn</w:t>
            </w:r>
          </w:p>
        </w:tc>
        <w:tc>
          <w:tcPr>
            <w:tcW w:type="dxa" w:w="20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 1.685</w:t>
            </w:r>
          </w:p>
        </w:tc>
        <w:tc>
          <w:tcPr>
            <w:tcW w:type="dxa" w:w="13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US$83bn</w:t>
            </w:r>
          </w:p>
        </w:tc>
        <w:tc>
          <w:tcPr>
            <w:tcW w:type="dxa" w:w="142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Normalised FCF; terminal value anchor</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Sum of PV FCF (2026-2030E)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US$231bn</w:t>
            </w:r>
          </w:p>
        </w:tc>
        <w:tc>
          <w:tcPr>
            <w:tcW w:type="dxa" w:w="1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
            </w:r>
          </w:p>
        </w:tc>
      </w:tr>
      <w:tr>
        <w:trPr>
          <w:tblHeader w:val="false"/>
        </w:trPr>
        <w:tc>
          <w:tcPr>
            <w:tcW w:type="dxa" w:w="30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Terminal value = US$140bn × 1.035 / (11% - 3.5%)</w:t>
            </w:r>
          </w:p>
        </w:tc>
        <w:tc>
          <w:tcPr>
            <w:tcW w:type="dxa" w:w="20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
            </w:r>
          </w:p>
        </w:tc>
        <w:tc>
          <w:tcPr>
            <w:tcW w:type="dxa" w:w="20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
            </w:r>
          </w:p>
        </w:tc>
        <w:tc>
          <w:tcPr>
            <w:tcW w:type="dxa" w:w="13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US$1,935bn</w:t>
            </w:r>
          </w:p>
        </w:tc>
        <w:tc>
          <w:tcPr>
            <w:tcW w:type="dxa" w:w="142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Gordon Growth; 3.5% perpetuity growth</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PV of terminal value (÷ 1.685)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US$1,148bn</w:t>
            </w:r>
          </w:p>
        </w:tc>
        <w:tc>
          <w:tcPr>
            <w:tcW w:type="dxa" w:w="1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Discounted 5 years at 11%</w:t>
            </w:r>
          </w:p>
        </w:tc>
      </w:tr>
      <w:tr>
        <w:trPr>
          <w:tblHeader w:val="false"/>
        </w:trPr>
        <w:tc>
          <w:tcPr>
            <w:tcW w:type="dxa" w:w="30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Net cash addition</w:t>
            </w:r>
          </w:p>
        </w:tc>
        <w:tc>
          <w:tcPr>
            <w:tcW w:type="dxa" w:w="20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
            </w:r>
          </w:p>
        </w:tc>
        <w:tc>
          <w:tcPr>
            <w:tcW w:type="dxa" w:w="20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
            </w:r>
          </w:p>
        </w:tc>
        <w:tc>
          <w:tcPr>
            <w:tcW w:type="dxa" w:w="13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+US$22.4bn</w:t>
            </w:r>
          </w:p>
        </w:tc>
        <w:tc>
          <w:tcPr>
            <w:tcW w:type="dxa" w:w="142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[IR — 1Q26]</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Equity value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US$1,401bn</w:t>
            </w:r>
          </w:p>
        </w:tc>
        <w:tc>
          <w:tcPr>
            <w:tcW w:type="dxa" w:w="1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PV FCF + PV Terminal + Net Cash</w:t>
            </w:r>
          </w:p>
        </w:tc>
      </w:tr>
      <w:tr>
        <w:trPr>
          <w:tblHeader w:val="false"/>
        </w:trPr>
        <w:tc>
          <w:tcPr>
            <w:tcW w:type="dxa" w:w="30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Shares outstanding</w:t>
            </w:r>
          </w:p>
        </w:tc>
        <w:tc>
          <w:tcPr>
            <w:tcW w:type="dxa" w:w="20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
            </w:r>
          </w:p>
        </w:tc>
        <w:tc>
          <w:tcPr>
            <w:tcW w:type="dxa" w:w="20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
            </w:r>
          </w:p>
        </w:tc>
        <w:tc>
          <w:tcPr>
            <w:tcW w:type="dxa" w:w="13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2,564mm</w:t>
            </w:r>
          </w:p>
        </w:tc>
        <w:tc>
          <w:tcPr>
            <w:tcW w:type="dxa" w:w="142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[IR]</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Implied price per share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~US$546/share</w:t>
            </w:r>
          </w:p>
        </w:tc>
        <w:tc>
          <w:tcPr>
            <w:tcW w:type="dxa" w:w="1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Incrementum est.</w:t>
            </w:r>
          </w:p>
        </w:tc>
      </w:tr>
    </w:tbl>
    <w:p>
      <w:pPr>
        <w:spacing w:after="120" w:before="40"/>
      </w:pPr>
      <w:r>
        <w:rPr>
          <w:rFonts w:ascii="Calibri" w:cs="Calibri" w:eastAsia="Calibri" w:hAnsi="Calibri"/>
          <w:i/>
          <w:iCs/>
          <w:color w:val="666666"/>
          <w:sz w:val="18"/>
          <w:szCs w:val="18"/>
        </w:rPr>
        <w:t xml:space="preserve">Source: FCF projections Incrementum est. WACC 11.0% per Section 6.1. Terminal growth 3.5% conservative for global digital advertising franchise.</w:t>
      </w:r>
    </w:p>
    <w:p>
      <w:pPr>
        <w:spacing w:after="80" w:before="80"/>
      </w:pPr>
      <w:r>
        <w:t xml:space="preserve"/>
      </w:r>
    </w:p>
    <w:p>
      <w:pPr>
        <w:pStyle w:val="Heading3"/>
        <w:spacing w:after="80" w:before="160"/>
      </w:pPr>
      <w:r>
        <w:rPr>
          <w:rFonts w:ascii="Calibri" w:cs="Calibri" w:eastAsia="Calibri" w:hAnsi="Calibri"/>
          <w:b/>
          <w:bCs/>
          <w:color w:val="2E5F8A"/>
          <w:sz w:val="22"/>
          <w:szCs w:val="22"/>
        </w:rPr>
        <w:t xml:space="preserve">WACC Sensitivity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FFFFFF"/>
                <w:sz w:val="20"/>
                <w:szCs w:val="20"/>
              </w:rPr>
              <w:t xml:space="preserve">WACC Applied</w:t>
            </w:r>
          </w:p>
        </w:tc>
        <w:tc>
          <w:tcPr>
            <w:tcW w:type="dxa" w:w="234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FFFFFF"/>
                <w:sz w:val="20"/>
                <w:szCs w:val="20"/>
              </w:rPr>
              <w:t xml:space="preserve">Implied DCF Price</w:t>
            </w:r>
          </w:p>
        </w:tc>
        <w:tc>
          <w:tcPr>
            <w:tcW w:type="dxa" w:w="468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FFFFFF"/>
                <w:sz w:val="20"/>
                <w:szCs w:val="20"/>
              </w:rPr>
              <w:t xml:space="preserve">Premium/(Discount) to US$609</w:t>
            </w:r>
          </w:p>
        </w:tc>
      </w:tr>
      <w:tr>
        <w:trPr>
          <w:tblHeader w:val="false"/>
        </w:trPr>
        <w:tc>
          <w:tcPr>
            <w:tcW w:type="dxa" w:w="234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9.0%</w:t>
            </w:r>
          </w:p>
        </w:tc>
        <w:tc>
          <w:tcPr>
            <w:tcW w:type="dxa" w:w="234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~US$680/share</w:t>
            </w:r>
          </w:p>
        </w:tc>
        <w:tc>
          <w:tcPr>
            <w:tcW w:type="dxa" w:w="468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+11.7%</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10.0%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~US$610/share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+0.2%</w:t>
            </w:r>
          </w:p>
        </w:tc>
      </w:tr>
      <w:tr>
        <w:trPr>
          <w:tblHeader w:val="false"/>
        </w:trPr>
        <w:tc>
          <w:tcPr>
            <w:tcW w:type="dxa" w:w="234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11.0%</w:t>
            </w:r>
          </w:p>
        </w:tc>
        <w:tc>
          <w:tcPr>
            <w:tcW w:type="dxa" w:w="234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~US$546/share</w:t>
            </w:r>
          </w:p>
        </w:tc>
        <w:tc>
          <w:tcPr>
            <w:tcW w:type="dxa" w:w="468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-10.0%</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12.0%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~US$490/share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-19.5%</w:t>
            </w:r>
          </w:p>
        </w:tc>
      </w:tr>
    </w:tbl>
    <w:p>
      <w:pPr>
        <w:spacing w:after="120" w:before="40"/>
      </w:pPr>
      <w:r>
        <w:rPr>
          <w:rFonts w:ascii="Calibri" w:cs="Calibri" w:eastAsia="Calibri" w:hAnsi="Calibri"/>
          <w:i/>
          <w:iCs/>
          <w:color w:val="666666"/>
          <w:sz w:val="18"/>
          <w:szCs w:val="18"/>
        </w:rPr>
        <w:t xml:space="preserve">Source: Incrementum est. DCF sensitivity to WACC.</w:t>
      </w:r>
    </w:p>
    <w:p>
      <w:pPr>
        <w:spacing w:after="60" w:before="60"/>
      </w:pPr>
      <w:r>
        <w:t xml:space="preserve"/>
      </w:r>
    </w:p>
    <w:p>
      <w:pPr>
        <w:spacing w:after="80" w:before="80" w:line="280"/>
        <w:jc w:val="left"/>
      </w:pPr>
      <w:r>
        <w:rPr>
          <w:rFonts w:ascii="Calibri" w:cs="Calibri" w:eastAsia="Calibri" w:hAnsi="Calibri"/>
          <w:b w:val="false"/>
          <w:bCs w:val="false"/>
          <w:i w:val="false"/>
          <w:iCs w:val="false"/>
          <w:color w:val="1A1A1A"/>
          <w:sz w:val="22"/>
          <w:szCs w:val="22"/>
        </w:rPr>
        <w:t xml:space="preserve">External reference: CompoundingLab DCF model [WEB-SCREEN — CompoundingLab, 2026-05-03]: Revenue CAGR +17%, WACC 10%, terminal growth 2.6% — fair value US$711 (perpetuity) | US$836 (EBITDA multiple) | Average US$774. Current price US$609 = 79% of fair value. Incrementum's more conservative model (US$546 at 11% WACC) uses negative 2026E FCF and pure Gordon Growth (no EBITDA terminal). Both models converge on a US$546-774 intrinsic value range.</w:t>
      </w:r>
    </w:p>
    <w:p>
      <w:pPr>
        <w:spacing w:after="100" w:before="100"/>
      </w:pPr>
      <w:r>
        <w:t xml:space="preserve"/>
      </w:r>
    </w:p>
    <w:p>
      <w:pPr>
        <w:pStyle w:val="Heading2"/>
        <w:pBdr>
          <w:bottom w:val="single" w:color="2E5F8A" w:sz="4" w:space="2"/>
        </w:pBdr>
        <w:spacing w:after="100" w:before="220"/>
      </w:pPr>
      <w:r>
        <w:rPr>
          <w:rFonts w:ascii="Calibri" w:cs="Calibri" w:eastAsia="Calibri" w:hAnsi="Calibri"/>
          <w:b/>
          <w:bCs/>
          <w:color w:val="1B3A5C"/>
          <w:sz w:val="24"/>
          <w:szCs w:val="24"/>
        </w:rPr>
        <w:t xml:space="preserve">6.4  Valuation Conclusion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FFFFFF"/>
                <w:sz w:val="20"/>
                <w:szCs w:val="20"/>
              </w:rPr>
              <w:t xml:space="preserve">Metric</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FFFFFF"/>
                <w:sz w:val="20"/>
                <w:szCs w:val="20"/>
              </w:rPr>
              <w:t xml:space="preserve">Value</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FFFFFF"/>
                <w:sz w:val="20"/>
                <w:szCs w:val="20"/>
              </w:rPr>
              <w:t xml:space="preserve">Implication</w:t>
            </w:r>
          </w:p>
        </w:tc>
      </w:tr>
      <w:tr>
        <w:trPr>
          <w:tblHeader w:val="false"/>
        </w:trP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Current price (2026-05-01 [IR])</w:t>
            </w:r>
          </w:p>
        </w:tc>
        <w:tc>
          <w:tcPr>
            <w:tcW w:type="dxa" w:w="20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US$608.75</w:t>
            </w:r>
          </w:p>
        </w:tc>
        <w:tc>
          <w:tcPr>
            <w:tcW w:type="dxa" w:w="456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Entry point for analysis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Consensus 2026E P/E [WEB-SCREEN]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~19.6x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Lowest P/E in large-cap tech comp set</w:t>
            </w:r>
          </w:p>
        </w:tc>
      </w:tr>
      <w:tr>
        <w:trPr>
          <w:tblHeader w:val="false"/>
        </w:trP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Incrementum 2026E P/E (US$24.50 EPS)</w:t>
            </w:r>
          </w:p>
        </w:tc>
        <w:tc>
          <w:tcPr>
            <w:tcW w:type="dxa" w:w="20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~24.9x</w:t>
            </w:r>
          </w:p>
        </w:tc>
        <w:tc>
          <w:tcPr>
            <w:tcW w:type="dxa" w:w="456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Our estimate implies higher P/E than consensus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Incrementum 2028E base P/E (US$34.00 EPS)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~17.9x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2-year forward look; material discount to peers</w:t>
            </w:r>
          </w:p>
        </w:tc>
      </w:tr>
      <w:tr>
        <w:trPr>
          <w:tblHeader w:val="false"/>
        </w:trP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DCF floor at 11% WACC</w:t>
            </w:r>
          </w:p>
        </w:tc>
        <w:tc>
          <w:tcPr>
            <w:tcW w:type="dxa" w:w="20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~US$546</w:t>
            </w:r>
          </w:p>
        </w:tc>
        <w:tc>
          <w:tcPr>
            <w:tcW w:type="dxa" w:w="456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~10% below current price on conservative assumptions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CompoundingLab DCF avg [WEB-SCREEN]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~US$774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Current price at 79% of fair value</w:t>
            </w:r>
          </w:p>
        </w:tc>
      </w:tr>
      <w:tr>
        <w:trPr>
          <w:tblHeader w:val="false"/>
        </w:trP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Base case 2028E target (22x × US$34)</w:t>
            </w:r>
          </w:p>
        </w:tc>
        <w:tc>
          <w:tcPr>
            <w:tcW w:type="dxa" w:w="20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US$748</w:t>
            </w:r>
          </w:p>
        </w:tc>
        <w:tc>
          <w:tcPr>
            <w:tcW w:type="dxa" w:w="456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+11%/yr IRR over 2 years</w:t>
            </w:r>
          </w:p>
        </w:tc>
      </w:tr>
    </w:tbl>
    <w:p>
      <w:pPr>
        <w:spacing w:after="120" w:before="40"/>
      </w:pPr>
      <w:r>
        <w:rPr>
          <w:rFonts w:ascii="Calibri" w:cs="Calibri" w:eastAsia="Calibri" w:hAnsi="Calibri"/>
          <w:i/>
          <w:iCs/>
          <w:color w:val="666666"/>
          <w:sz w:val="18"/>
          <w:szCs w:val="18"/>
        </w:rPr>
        <w:t xml:space="preserve">Source: [IR] for price and guidance. Consensus [WEB-SCREEN]. All model outputs Incrementum est.</w:t>
      </w:r>
    </w:p>
    <w:p>
      <w:pPr>
        <w:spacing w:after="80" w:before="80"/>
      </w:pPr>
      <w:r>
        <w:t xml:space="preserve"/>
      </w:r>
    </w:p>
    <w:p>
      <w:pPr>
        <w:pBdr>
          <w:top w:val="single" w:color="2E5F8A" w:sz="1"/>
          <w:left w:val="single" w:color="1B3A5C" w:sz="12"/>
          <w:bottom w:val="single" w:color="2E5F8A" w:sz="1"/>
          <w:right w:val="single" w:color="2E5F8A" w:sz="1"/>
        </w:pBdr>
        <w:shd w:fill="E8EFF6" w:val="clear"/>
        <w:spacing w:after="100" w:before="100"/>
        <w:ind w:left="200" w:right="200"/>
      </w:pPr>
      <w:r>
        <w:rPr>
          <w:rFonts w:ascii="Calibri" w:cs="Calibri" w:eastAsia="Calibri" w:hAnsi="Calibri"/>
          <w:b/>
          <w:bCs/>
          <w:color w:val="1B3A5C"/>
          <w:sz w:val="22"/>
          <w:szCs w:val="22"/>
        </w:rPr>
        <w:t xml:space="preserve">CONCLUSION: At current prices (~US$609), META is priced at approximately its DCF floor using conservative assumptions. The 2027-2028 earnings normalisation is effectively free. AI optionality (Meta AI, Llama API, Advantage+ acceleration) is a no-cost call option on top. Risk-reward is asymmetric to the upside in the base case. The bear case requires D&amp;A trap materialising AND market applying a trough multiple simultaneously — ~25-30% probability (Incrementum est.), justifying current 10.6% NAV sizing.</w:t>
      </w:r>
    </w:p>
    <w:p>
      <w:pPr>
        <w:pStyle w:val="Heading1"/>
        <w:pageBreakBefore/>
        <w:shd w:fill="1B3A5C" w:val="clear"/>
        <w:spacing w:after="160" w:before="300"/>
      </w:pPr>
      <w:r>
        <w:rPr>
          <w:rFonts w:ascii="Calibri" w:cs="Calibri" w:eastAsia="Calibri" w:hAnsi="Calibri"/>
          <w:b/>
          <w:bCs/>
          <w:color w:val="FFFFFF"/>
          <w:sz w:val="30"/>
          <w:szCs w:val="30"/>
        </w:rPr>
        <w:t xml:space="preserve">7. INVESTMENT STRUCTURE</w:t>
      </w:r>
    </w:p>
    <w:p>
      <w:pPr>
        <w:pStyle w:val="Heading2"/>
        <w:pBdr>
          <w:bottom w:val="single" w:color="2E5F8A" w:sz="4" w:space="2"/>
        </w:pBdr>
        <w:spacing w:after="100" w:before="220"/>
      </w:pPr>
      <w:r>
        <w:rPr>
          <w:rFonts w:ascii="Calibri" w:cs="Calibri" w:eastAsia="Calibri" w:hAnsi="Calibri"/>
          <w:b/>
          <w:bCs/>
          <w:color w:val="1B3A5C"/>
          <w:sz w:val="24"/>
          <w:szCs w:val="24"/>
        </w:rPr>
        <w:t xml:space="preserve">7.1  Current 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FFFFFF"/>
                <w:sz w:val="20"/>
                <w:szCs w:val="20"/>
              </w:rPr>
              <w:t xml:space="preserve">Parameter</w:t>
            </w:r>
          </w:p>
        </w:tc>
        <w:tc>
          <w:tcPr>
            <w:tcW w:type="dxa" w:w="20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FFFFFF"/>
                <w:sz w:val="20"/>
                <w:szCs w:val="20"/>
              </w:rPr>
              <w:t xml:space="preserve">Value</w:t>
            </w:r>
          </w:p>
        </w:tc>
        <w:tc>
          <w:tcPr>
            <w:tcW w:type="dxa" w:w="516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FFFFFF"/>
                <w:sz w:val="20"/>
                <w:szCs w:val="20"/>
              </w:rPr>
              <w:t xml:space="preserve">Notes</w:t>
            </w:r>
          </w:p>
        </w:tc>
      </w:tr>
      <w:tr>
        <w:trPr>
          <w:tblHeader w:val="false"/>
        </w:trPr>
        <w:tc>
          <w:tcPr>
            <w:tcW w:type="dxa" w:w="22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Shares held</w:t>
            </w:r>
          </w:p>
        </w:tc>
        <w:tc>
          <w:tcPr>
            <w:tcW w:type="dxa" w:w="20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8 shares equity</w:t>
            </w:r>
          </w:p>
        </w:tc>
        <w:tc>
          <w:tcPr>
            <w:tcW w:type="dxa" w:w="516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[state.md 2026-05-01]</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Average cost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~US$609/share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[state.md 2026-05-01]</w:t>
            </w:r>
          </w:p>
        </w:tc>
      </w:tr>
      <w:tr>
        <w:trPr>
          <w:tblHeader w:val="false"/>
        </w:trPr>
        <w:tc>
          <w:tcPr>
            <w:tcW w:type="dxa" w:w="22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Market value</w:t>
            </w:r>
          </w:p>
        </w:tc>
        <w:tc>
          <w:tcPr>
            <w:tcW w:type="dxa" w:w="20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~US$4,872</w:t>
            </w:r>
          </w:p>
        </w:tc>
        <w:tc>
          <w:tcPr>
            <w:tcW w:type="dxa" w:w="516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At US$608.75 [IR — 2026-05-01]</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 NAV</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~10.6%</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NAV US$45,886 [state.md 2026-05-01]</w:t>
            </w:r>
          </w:p>
        </w:tc>
      </w:tr>
      <w:tr>
        <w:trPr>
          <w:tblHeader w:val="false"/>
        </w:trPr>
        <w:tc>
          <w:tcPr>
            <w:tcW w:type="dxa" w:w="22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Options overlay</w:t>
            </w:r>
          </w:p>
        </w:tc>
        <w:tc>
          <w:tcPr>
            <w:tcW w:type="dxa" w:w="20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None in place</w:t>
            </w:r>
          </w:p>
        </w:tc>
        <w:tc>
          <w:tcPr>
            <w:tcW w:type="dxa" w:w="516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Current structure: pure equity</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Resize trigger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≥US$60bn 2Q26 revenue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Reportable 2026-07-29 [IR estimated date]</w:t>
            </w:r>
          </w:p>
        </w:tc>
      </w:tr>
      <w:tr>
        <w:trPr>
          <w:tblHeader w:val="false"/>
        </w:trPr>
        <w:tc>
          <w:tcPr>
            <w:tcW w:type="dxa" w:w="22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Portfolio cash</w:t>
            </w:r>
          </w:p>
        </w:tc>
        <w:tc>
          <w:tcPr>
            <w:tcW w:type="dxa" w:w="20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US$13,631 (29.7% NAV)</w:t>
            </w:r>
          </w:p>
        </w:tc>
        <w:tc>
          <w:tcPr>
            <w:tcW w:type="dxa" w:w="516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Available for addition or options [state.md]</w:t>
            </w:r>
          </w:p>
        </w:tc>
      </w:tr>
    </w:tbl>
    <w:p>
      <w:pPr>
        <w:spacing w:after="80" w:before="80"/>
      </w:pPr>
      <w:r>
        <w:t xml:space="preserve"/>
      </w:r>
    </w:p>
    <w:p>
      <w:pPr>
        <w:spacing w:after="80" w:before="80" w:line="280"/>
        <w:jc w:val="left"/>
      </w:pPr>
      <w:r>
        <w:rPr>
          <w:rFonts w:ascii="Calibri" w:cs="Calibri" w:eastAsia="Calibri" w:hAnsi="Calibri"/>
          <w:b w:val="false"/>
          <w:bCs w:val="false"/>
          <w:i w:val="false"/>
          <w:iCs w:val="false"/>
          <w:color w:val="1A1A1A"/>
          <w:sz w:val="22"/>
          <w:szCs w:val="22"/>
        </w:rPr>
        <w:t xml:space="preserve">The position was sized at ~10.6% NAV within a Druckenmiller-inspired high-conviction concentration framework [decisions.md]. Not yet at maximum sizing given the binary nature of the CAPEX thesis. Sizing to &gt;15% NAV should wait for 2Q26 confirmation (≥US$60bn revenue). If 2Q26 confirms, the D&amp;A trap probability (currently ~25-30%) reduces materially, supporting addition.</w:t>
      </w:r>
    </w:p>
    <w:p>
      <w:pPr>
        <w:spacing w:after="100" w:before="100"/>
      </w:pPr>
      <w:r>
        <w:t xml:space="preserve"/>
      </w:r>
    </w:p>
    <w:p>
      <w:pPr>
        <w:pStyle w:val="Heading2"/>
        <w:pBdr>
          <w:bottom w:val="single" w:color="2E5F8A" w:sz="4" w:space="2"/>
        </w:pBdr>
        <w:spacing w:after="100" w:before="220"/>
      </w:pPr>
      <w:r>
        <w:rPr>
          <w:rFonts w:ascii="Calibri" w:cs="Calibri" w:eastAsia="Calibri" w:hAnsi="Calibri"/>
          <w:b/>
          <w:bCs/>
          <w:color w:val="1B3A5C"/>
          <w:sz w:val="24"/>
          <w:szCs w:val="24"/>
        </w:rPr>
        <w:t xml:space="preserve">7.2  Options Structures — Detailed Analysis</w:t>
      </w:r>
    </w:p>
    <w:p>
      <w:pPr>
        <w:spacing w:after="80" w:before="80" w:line="280"/>
        <w:jc w:val="left"/>
      </w:pPr>
      <w:r>
        <w:rPr>
          <w:rFonts w:ascii="Calibri" w:cs="Calibri" w:eastAsia="Calibri" w:hAnsi="Calibri"/>
          <w:b/>
          <w:bCs/>
          <w:color w:val="8B1A1A"/>
          <w:sz w:val="22"/>
          <w:szCs w:val="22"/>
        </w:rPr>
        <w:t xml:space="preserve">IMPORTANT: </w:t>
      </w:r>
      <w:r>
        <w:rPr>
          <w:rFonts w:ascii="Calibri" w:cs="Calibri" w:eastAsia="Calibri" w:hAnsi="Calibri"/>
          <w:color w:val="1A1A1A"/>
          <w:sz w:val="22"/>
          <w:szCs w:val="22"/>
        </w:rPr>
        <w:t xml:space="preserve">All option premiums below are illustrative figures from Eduardo's META_Opcoes_Estruturas_Bullish.docx file (Dec 18, 2026 expiry, stock reference ~US$610-612). These prices change continuously and may be materially different at time of execution. </w:t>
      </w:r>
      <w:r>
        <w:rPr>
          <w:rFonts w:ascii="Calibri" w:cs="Calibri" w:eastAsia="Calibri" w:hAnsi="Calibri"/>
          <w:b/>
          <w:bCs/>
          <w:color w:val="8B1A1A"/>
          <w:sz w:val="22"/>
          <w:szCs w:val="22"/>
        </w:rPr>
        <w:t xml:space="preserve">[req. live verification via IBKR TWS before any execution]</w:t>
      </w:r>
    </w:p>
    <w:p>
      <w:pPr>
        <w:spacing w:after="80" w:before="80"/>
      </w:pPr>
      <w:r>
        <w:t xml:space="preserve"/>
      </w:r>
    </w:p>
    <w:p>
      <w:pPr>
        <w:pStyle w:val="Heading3"/>
        <w:spacing w:after="80" w:before="160"/>
      </w:pPr>
      <w:r>
        <w:rPr>
          <w:rFonts w:ascii="Calibri" w:cs="Calibri" w:eastAsia="Calibri" w:hAnsi="Calibri"/>
          <w:b/>
          <w:bCs/>
          <w:color w:val="2E5F8A"/>
          <w:sz w:val="22"/>
          <w:szCs w:val="22"/>
        </w:rPr>
        <w:t xml:space="preserve">Structure 1: Buy Call — Pure Long Call</w:t>
      </w:r>
    </w:p>
    <w:p>
      <w:pPr>
        <w:pStyle w:val="ListParagraph"/>
        <w:numPr>
          <w:ilvl w:val="0"/>
          <w:numId w:val="2"/>
        </w:numPr>
        <w:spacing w:after="60" w:before="60" w:line="280"/>
      </w:pPr>
      <w:r>
        <w:rPr>
          <w:rFonts w:ascii="Calibri" w:cs="Calibri" w:eastAsia="Calibri" w:hAnsi="Calibri"/>
          <w:color w:val="1A1A1A"/>
          <w:sz w:val="22"/>
          <w:szCs w:val="22"/>
        </w:rPr>
        <w:t xml:space="preserve">Example: 615C Dec 18, 2026 — ~US$76/share = US$7,600/contract [req. live via IBKR TWS]</w:t>
      </w:r>
    </w:p>
    <w:p>
      <w:pPr>
        <w:pStyle w:val="ListParagraph"/>
        <w:numPr>
          <w:ilvl w:val="0"/>
          <w:numId w:val="2"/>
        </w:numPr>
        <w:spacing w:after="60" w:before="60" w:line="280"/>
      </w:pPr>
      <w:r>
        <w:rPr>
          <w:rFonts w:ascii="Calibri" w:cs="Calibri" w:eastAsia="Calibri" w:hAnsi="Calibri"/>
          <w:color w:val="1A1A1A"/>
          <w:sz w:val="22"/>
          <w:szCs w:val="22"/>
        </w:rPr>
        <w:t xml:space="preserve">Break-even: ~US$691 at expiry (+13% from US$609 entry)</w:t>
      </w:r>
    </w:p>
    <w:p>
      <w:pPr>
        <w:pStyle w:val="ListParagraph"/>
        <w:numPr>
          <w:ilvl w:val="0"/>
          <w:numId w:val="2"/>
        </w:numPr>
        <w:spacing w:after="60" w:before="60" w:line="280"/>
      </w:pPr>
      <w:r>
        <w:rPr>
          <w:rFonts w:ascii="Calibri" w:cs="Calibri" w:eastAsia="Calibri" w:hAnsi="Calibri"/>
          <w:color w:val="1A1A1A"/>
          <w:sz w:val="22"/>
          <w:szCs w:val="22"/>
        </w:rPr>
        <w:t xml:space="preserve">Maximum gain: Unlimited above US$691</w:t>
      </w:r>
    </w:p>
    <w:p>
      <w:pPr>
        <w:pStyle w:val="ListParagraph"/>
        <w:numPr>
          <w:ilvl w:val="0"/>
          <w:numId w:val="2"/>
        </w:numPr>
        <w:spacing w:after="60" w:before="60" w:line="280"/>
      </w:pPr>
      <w:r>
        <w:rPr>
          <w:rFonts w:ascii="Calibri" w:cs="Calibri" w:eastAsia="Calibri" w:hAnsi="Calibri"/>
          <w:color w:val="1A1A1A"/>
          <w:sz w:val="22"/>
          <w:szCs w:val="22"/>
        </w:rPr>
        <w:t xml:space="preserve">Maximum loss: US$7,600 (100% of premium)</w:t>
      </w:r>
    </w:p>
    <w:p>
      <w:pPr>
        <w:pStyle w:val="ListParagraph"/>
        <w:numPr>
          <w:ilvl w:val="0"/>
          <w:numId w:val="2"/>
        </w:numPr>
        <w:spacing w:after="60" w:before="60" w:line="280"/>
      </w:pPr>
      <w:r>
        <w:rPr>
          <w:rFonts w:ascii="Calibri" w:cs="Calibri" w:eastAsia="Calibri" w:hAnsi="Calibri"/>
          <w:color w:val="1A1A1A"/>
          <w:sz w:val="22"/>
          <w:szCs w:val="22"/>
        </w:rPr>
        <w:t xml:space="preserve">Budget fit: EXCEEDS Eduardo's ~US$5,000 budget</w:t>
      </w:r>
    </w:p>
    <w:p>
      <w:pPr>
        <w:spacing w:after="80" w:before="80" w:line="280"/>
        <w:jc w:val="left"/>
      </w:pPr>
      <w:r>
        <w:rPr>
          <w:rFonts w:ascii="Calibri" w:cs="Calibri" w:eastAsia="Calibri" w:hAnsi="Calibri"/>
          <w:b w:val="false"/>
          <w:bCs w:val="false"/>
          <w:i w:val="false"/>
          <w:iCs w:val="false"/>
          <w:color w:val="1A1A1A"/>
          <w:sz w:val="22"/>
          <w:szCs w:val="22"/>
        </w:rPr>
        <w:t xml:space="preserve">Call dynamics: Gains as (a) stock rises (delta), (b) IV rises (vega). Loses to (a) stock falls, (b) time passes without movement (theta negative — time decay is the enemy). At US$76/share (~12.5% of stock price), the option is priced for significant appreciation. Fair pricing given +33% revenue growth, but exceeds budget and break-even requires meaningful move.</w:t>
      </w:r>
    </w:p>
    <w:p>
      <w:pPr>
        <w:spacing w:after="80" w:before="80"/>
      </w:pPr>
      <w:r>
        <w:t xml:space="preserve"/>
      </w:r>
    </w:p>
    <w:p>
      <w:pPr>
        <w:pStyle w:val="Heading3"/>
        <w:spacing w:after="80" w:before="160"/>
      </w:pPr>
      <w:r>
        <w:rPr>
          <w:rFonts w:ascii="Calibri" w:cs="Calibri" w:eastAsia="Calibri" w:hAnsi="Calibri"/>
          <w:b/>
          <w:bCs/>
          <w:color w:val="2E5F8A"/>
          <w:sz w:val="22"/>
          <w:szCs w:val="22"/>
        </w:rPr>
        <w:t xml:space="preserve">Structure 2: Put Credit Spread (580P/540P Dec 2026)</w:t>
      </w:r>
    </w:p>
    <w:p>
      <w:pPr>
        <w:pStyle w:val="ListParagraph"/>
        <w:numPr>
          <w:ilvl w:val="0"/>
          <w:numId w:val="2"/>
        </w:numPr>
        <w:spacing w:after="60" w:before="60" w:line="280"/>
      </w:pPr>
      <w:r>
        <w:rPr>
          <w:rFonts w:ascii="Calibri" w:cs="Calibri" w:eastAsia="Calibri" w:hAnsi="Calibri"/>
          <w:color w:val="1A1A1A"/>
          <w:sz w:val="22"/>
          <w:szCs w:val="22"/>
        </w:rPr>
        <w:t xml:space="preserve">Sell 580P (~bid US$51.25) + Buy 540P (~ask US$36.20) = Net credit ~US$15.05/share [req. live via IBKR TWS]</w:t>
      </w:r>
    </w:p>
    <w:p>
      <w:pPr>
        <w:pStyle w:val="ListParagraph"/>
        <w:numPr>
          <w:ilvl w:val="0"/>
          <w:numId w:val="2"/>
        </w:numPr>
        <w:spacing w:after="60" w:before="60" w:line="280"/>
      </w:pPr>
      <w:r>
        <w:rPr>
          <w:rFonts w:ascii="Calibri" w:cs="Calibri" w:eastAsia="Calibri" w:hAnsi="Calibri"/>
          <w:color w:val="1A1A1A"/>
          <w:sz w:val="22"/>
          <w:szCs w:val="22"/>
        </w:rPr>
        <w:t xml:space="preserve">Credit received: ~US$1,505/contract</w:t>
      </w:r>
    </w:p>
    <w:p>
      <w:pPr>
        <w:pStyle w:val="ListParagraph"/>
        <w:numPr>
          <w:ilvl w:val="0"/>
          <w:numId w:val="2"/>
        </w:numPr>
        <w:spacing w:after="60" w:before="60" w:line="280"/>
      </w:pPr>
      <w:r>
        <w:rPr>
          <w:rFonts w:ascii="Calibri" w:cs="Calibri" w:eastAsia="Calibri" w:hAnsi="Calibri"/>
          <w:color w:val="1A1A1A"/>
          <w:sz w:val="22"/>
          <w:szCs w:val="22"/>
        </w:rPr>
        <w:t xml:space="preserve">Maximum profit: ~US$1,505 (META ≥US$580 at expiry)</w:t>
      </w:r>
    </w:p>
    <w:p>
      <w:pPr>
        <w:pStyle w:val="ListParagraph"/>
        <w:numPr>
          <w:ilvl w:val="0"/>
          <w:numId w:val="2"/>
        </w:numPr>
        <w:spacing w:after="60" w:before="60" w:line="280"/>
      </w:pPr>
      <w:r>
        <w:rPr>
          <w:rFonts w:ascii="Calibri" w:cs="Calibri" w:eastAsia="Calibri" w:hAnsi="Calibri"/>
          <w:color w:val="1A1A1A"/>
          <w:sz w:val="22"/>
          <w:szCs w:val="22"/>
        </w:rPr>
        <w:t xml:space="preserve">Maximum loss: ~US$2,495 (META ≤US$540 at expiry)</w:t>
      </w:r>
    </w:p>
    <w:p>
      <w:pPr>
        <w:pStyle w:val="ListParagraph"/>
        <w:numPr>
          <w:ilvl w:val="0"/>
          <w:numId w:val="2"/>
        </w:numPr>
        <w:spacing w:after="60" w:before="60" w:line="280"/>
      </w:pPr>
      <w:r>
        <w:rPr>
          <w:rFonts w:ascii="Calibri" w:cs="Calibri" w:eastAsia="Calibri" w:hAnsi="Calibri"/>
          <w:color w:val="1A1A1A"/>
          <w:sz w:val="22"/>
          <w:szCs w:val="22"/>
        </w:rPr>
        <w:t xml:space="preserve">Break-even: ~US$564.95 (7% below current price — requires meaningful drawdown to lose money)</w:t>
      </w:r>
    </w:p>
    <w:p>
      <w:pPr>
        <w:pStyle w:val="ListParagraph"/>
        <w:numPr>
          <w:ilvl w:val="0"/>
          <w:numId w:val="2"/>
        </w:numPr>
        <w:spacing w:after="60" w:before="60" w:line="280"/>
      </w:pPr>
      <w:r>
        <w:rPr>
          <w:rFonts w:ascii="Calibri" w:cs="Calibri" w:eastAsia="Calibri" w:hAnsi="Calibri"/>
          <w:color w:val="1A1A1A"/>
          <w:sz w:val="22"/>
          <w:szCs w:val="22"/>
        </w:rPr>
        <w:t xml:space="preserve">Required capital (margin): ~US$4,000 — fits within ~US$5,000 budget</w:t>
      </w:r>
    </w:p>
    <w:p>
      <w:pPr>
        <w:pStyle w:val="ListParagraph"/>
        <w:numPr>
          <w:ilvl w:val="0"/>
          <w:numId w:val="2"/>
        </w:numPr>
        <w:spacing w:after="60" w:before="60" w:line="280"/>
      </w:pPr>
      <w:r>
        <w:rPr>
          <w:rFonts w:ascii="Calibri" w:cs="Calibri" w:eastAsia="Calibri" w:hAnsi="Calibri"/>
          <w:color w:val="1A1A1A"/>
          <w:sz w:val="22"/>
          <w:szCs w:val="22"/>
        </w:rPr>
        <w:t xml:space="preserve">Risk/reward: 1.66x loss-to-gain; requires &gt;62.5% win rate for positive expected value</w:t>
      </w:r>
    </w:p>
    <w:p>
      <w:pPr>
        <w:spacing w:after="80" w:before="80" w:line="280"/>
        <w:jc w:val="left"/>
      </w:pPr>
      <w:r>
        <w:rPr>
          <w:rFonts w:ascii="Calibri" w:cs="Calibri" w:eastAsia="Calibri" w:hAnsi="Calibri"/>
          <w:b w:val="false"/>
          <w:bCs w:val="false"/>
          <w:i w:val="false"/>
          <w:iCs w:val="false"/>
          <w:color w:val="1A1A1A"/>
          <w:sz w:val="22"/>
          <w:szCs w:val="22"/>
        </w:rPr>
        <w:t xml:space="preserve">When to use: Bullish-to-neutral conviction. Eduardo believes META will NOT fall below US$580 by Dec 2026. Generates income while holding the equity position. Theta positive (time decay works for the spread seller). IV collapse post-earnings is a tailwind.</w:t>
      </w:r>
    </w:p>
    <w:p>
      <w:pPr>
        <w:spacing w:after="80" w:before="80"/>
      </w:pPr>
      <w:r>
        <w:t xml:space="preserve"/>
      </w:r>
    </w:p>
    <w:p>
      <w:pPr>
        <w:pStyle w:val="Heading3"/>
        <w:spacing w:after="80" w:before="160"/>
      </w:pPr>
      <w:r>
        <w:rPr>
          <w:rFonts w:ascii="Calibri" w:cs="Calibri" w:eastAsia="Calibri" w:hAnsi="Calibri"/>
          <w:b/>
          <w:bCs/>
          <w:color w:val="2E5F8A"/>
          <w:sz w:val="22"/>
          <w:szCs w:val="22"/>
        </w:rPr>
        <w:t xml:space="preserve">Structure 3: Bull Call Spread (620C/700C Dec 2026)</w:t>
      </w:r>
    </w:p>
    <w:p>
      <w:pPr>
        <w:pStyle w:val="ListParagraph"/>
        <w:numPr>
          <w:ilvl w:val="0"/>
          <w:numId w:val="2"/>
        </w:numPr>
        <w:spacing w:after="60" w:before="60" w:line="280"/>
      </w:pPr>
      <w:r>
        <w:rPr>
          <w:rFonts w:ascii="Calibri" w:cs="Calibri" w:eastAsia="Calibri" w:hAnsi="Calibri"/>
          <w:color w:val="1A1A1A"/>
          <w:sz w:val="22"/>
          <w:szCs w:val="22"/>
        </w:rPr>
        <w:t xml:space="preserve">Buy 620C / Sell 700C Dec 2026 — estimated net debit ~US$25-35/share [req. live via IBKR TWS]</w:t>
      </w:r>
    </w:p>
    <w:p>
      <w:pPr>
        <w:pStyle w:val="ListParagraph"/>
        <w:numPr>
          <w:ilvl w:val="0"/>
          <w:numId w:val="2"/>
        </w:numPr>
        <w:spacing w:after="60" w:before="60" w:line="280"/>
      </w:pPr>
      <w:r>
        <w:rPr>
          <w:rFonts w:ascii="Calibri" w:cs="Calibri" w:eastAsia="Calibri" w:hAnsi="Calibri"/>
          <w:color w:val="1A1A1A"/>
          <w:sz w:val="22"/>
          <w:szCs w:val="22"/>
        </w:rPr>
        <w:t xml:space="preserve">Break-even: 620 + debit (~US$30) = ~US$650</w:t>
      </w:r>
    </w:p>
    <w:p>
      <w:pPr>
        <w:pStyle w:val="ListParagraph"/>
        <w:numPr>
          <w:ilvl w:val="0"/>
          <w:numId w:val="2"/>
        </w:numPr>
        <w:spacing w:after="60" w:before="60" w:line="280"/>
      </w:pPr>
      <w:r>
        <w:rPr>
          <w:rFonts w:ascii="Calibri" w:cs="Calibri" w:eastAsia="Calibri" w:hAnsi="Calibri"/>
          <w:color w:val="1A1A1A"/>
          <w:sz w:val="22"/>
          <w:szCs w:val="22"/>
        </w:rPr>
        <w:t xml:space="preserve">Maximum profit: (700 - 620 - 30) × 100 = US$5,000/contract</w:t>
      </w:r>
    </w:p>
    <w:p>
      <w:pPr>
        <w:pStyle w:val="ListParagraph"/>
        <w:numPr>
          <w:ilvl w:val="0"/>
          <w:numId w:val="2"/>
        </w:numPr>
        <w:spacing w:after="60" w:before="60" w:line="280"/>
      </w:pPr>
      <w:r>
        <w:rPr>
          <w:rFonts w:ascii="Calibri" w:cs="Calibri" w:eastAsia="Calibri" w:hAnsi="Calibri"/>
          <w:color w:val="1A1A1A"/>
          <w:sz w:val="22"/>
          <w:szCs w:val="22"/>
        </w:rPr>
        <w:t xml:space="preserve">Maximum loss: ~US$3,000 (net debit paid)</w:t>
      </w:r>
    </w:p>
    <w:p>
      <w:pPr>
        <w:pStyle w:val="ListParagraph"/>
        <w:numPr>
          <w:ilvl w:val="0"/>
          <w:numId w:val="2"/>
        </w:numPr>
        <w:spacing w:after="60" w:before="60" w:line="280"/>
      </w:pPr>
      <w:r>
        <w:rPr>
          <w:rFonts w:ascii="Calibri" w:cs="Calibri" w:eastAsia="Calibri" w:hAnsi="Calibri"/>
          <w:color w:val="1A1A1A"/>
          <w:sz w:val="22"/>
          <w:szCs w:val="22"/>
        </w:rPr>
        <w:t xml:space="preserve">Budget fit: Within ~US$5,000 budget</w:t>
      </w:r>
    </w:p>
    <w:p>
      <w:pPr>
        <w:spacing w:after="80" w:before="80" w:line="280"/>
        <w:jc w:val="left"/>
      </w:pPr>
      <w:r>
        <w:rPr>
          <w:rFonts w:ascii="Calibri" w:cs="Calibri" w:eastAsia="Calibri" w:hAnsi="Calibri"/>
          <w:b w:val="false"/>
          <w:bCs w:val="false"/>
          <w:i w:val="false"/>
          <w:iCs w:val="false"/>
          <w:color w:val="1A1A1A"/>
          <w:sz w:val="22"/>
          <w:szCs w:val="22"/>
        </w:rPr>
        <w:t xml:space="preserve">When to use: High conviction bullish with a specific price target. Eduardo believes META reaches US$700+ by Dec 2026 (+15% from US$609). This is the base case target and a reasonable expectation given 1Q26 execution. Advantage over naked call: significantly lower cost and better risk/reward to the target strike.</w:t>
      </w:r>
    </w:p>
    <w:p>
      <w:pPr>
        <w:spacing w:after="80" w:before="80" w:line="280"/>
        <w:jc w:val="left"/>
      </w:pPr>
      <w:r>
        <w:rPr>
          <w:rFonts w:ascii="Calibri" w:cs="Calibri" w:eastAsia="Calibri" w:hAnsi="Calibri"/>
          <w:b w:val="false"/>
          <w:bCs w:val="false"/>
          <w:i w:val="false"/>
          <w:iCs w:val="false"/>
          <w:color w:val="1A1A1A"/>
          <w:sz w:val="22"/>
          <w:szCs w:val="22"/>
        </w:rPr>
        <w:t xml:space="preserve">Alternative widths to consider: 615C/700C (lower break-even ~US$640, higher debit); 650C/750C (higher break-even ~US$680, lower debit, captures bigger move). All require live IBKR TWS verification.</w:t>
      </w:r>
    </w:p>
    <w:p>
      <w:pPr>
        <w:spacing w:after="80" w:before="80"/>
      </w:pPr>
      <w:r>
        <w:t xml:space="preserve"/>
      </w:r>
    </w:p>
    <w:p>
      <w:pPr>
        <w:pStyle w:val="Heading3"/>
        <w:spacing w:after="80" w:before="160"/>
      </w:pPr>
      <w:r>
        <w:rPr>
          <w:rFonts w:ascii="Calibri" w:cs="Calibri" w:eastAsia="Calibri" w:hAnsi="Calibri"/>
          <w:b/>
          <w:bCs/>
          <w:color w:val="2E5F8A"/>
          <w:sz w:val="22"/>
          <w:szCs w:val="22"/>
        </w:rPr>
        <w:t xml:space="preserve">Structure 4: Sell Put (Cash-Secured or Margined)</w:t>
      </w:r>
    </w:p>
    <w:p>
      <w:pPr>
        <w:pStyle w:val="ListParagraph"/>
        <w:numPr>
          <w:ilvl w:val="0"/>
          <w:numId w:val="2"/>
        </w:numPr>
        <w:spacing w:after="60" w:before="60" w:line="280"/>
      </w:pPr>
      <w:r>
        <w:rPr>
          <w:rFonts w:ascii="Calibri" w:cs="Calibri" w:eastAsia="Calibri" w:hAnsi="Calibri"/>
          <w:color w:val="1A1A1A"/>
          <w:sz w:val="22"/>
          <w:szCs w:val="22"/>
        </w:rPr>
        <w:t xml:space="preserve">Example: Sell 580P Dec 2026 (~US$51.25/share received) [req. live via IBKR TWS]</w:t>
      </w:r>
    </w:p>
    <w:p>
      <w:pPr>
        <w:pStyle w:val="ListParagraph"/>
        <w:numPr>
          <w:ilvl w:val="0"/>
          <w:numId w:val="2"/>
        </w:numPr>
        <w:spacing w:after="60" w:before="60" w:line="280"/>
      </w:pPr>
      <w:r>
        <w:rPr>
          <w:rFonts w:ascii="Calibri" w:cs="Calibri" w:eastAsia="Calibri" w:hAnsi="Calibri"/>
          <w:color w:val="1A1A1A"/>
          <w:sz w:val="22"/>
          <w:szCs w:val="22"/>
        </w:rPr>
        <w:t xml:space="preserve">Premium received: ~US$5,125/contract</w:t>
      </w:r>
    </w:p>
    <w:p>
      <w:pPr>
        <w:pStyle w:val="ListParagraph"/>
        <w:numPr>
          <w:ilvl w:val="0"/>
          <w:numId w:val="2"/>
        </w:numPr>
        <w:spacing w:after="60" w:before="60" w:line="280"/>
      </w:pPr>
      <w:r>
        <w:rPr>
          <w:rFonts w:ascii="Calibri" w:cs="Calibri" w:eastAsia="Calibri" w:hAnsi="Calibri"/>
          <w:color w:val="1A1A1A"/>
          <w:sz w:val="22"/>
          <w:szCs w:val="22"/>
        </w:rPr>
        <w:t xml:space="preserve">Maximum gain: US$5,125 (META ≥US$580 at expiry)</w:t>
      </w:r>
    </w:p>
    <w:p>
      <w:pPr>
        <w:pStyle w:val="ListParagraph"/>
        <w:numPr>
          <w:ilvl w:val="0"/>
          <w:numId w:val="2"/>
        </w:numPr>
        <w:spacing w:after="60" w:before="60" w:line="280"/>
      </w:pPr>
      <w:r>
        <w:rPr>
          <w:rFonts w:ascii="Calibri" w:cs="Calibri" w:eastAsia="Calibri" w:hAnsi="Calibri"/>
          <w:color w:val="1A1A1A"/>
          <w:sz w:val="22"/>
          <w:szCs w:val="22"/>
        </w:rPr>
        <w:t xml:space="preserve">Maximum loss: US$52,875 (META → zero) — equivalent to long 100 shares from US$580</w:t>
      </w:r>
    </w:p>
    <w:p>
      <w:pPr>
        <w:pStyle w:val="ListParagraph"/>
        <w:numPr>
          <w:ilvl w:val="0"/>
          <w:numId w:val="2"/>
        </w:numPr>
        <w:spacing w:after="60" w:before="60" w:line="280"/>
      </w:pPr>
      <w:r>
        <w:rPr>
          <w:rFonts w:ascii="Calibri" w:cs="Calibri" w:eastAsia="Calibri" w:hAnsi="Calibri"/>
          <w:color w:val="1A1A1A"/>
          <w:sz w:val="22"/>
          <w:szCs w:val="22"/>
        </w:rPr>
        <w:t xml:space="preserve">Break-even: US$528.75 (effective cost if assigned)</w:t>
      </w:r>
    </w:p>
    <w:p>
      <w:pPr>
        <w:pStyle w:val="ListParagraph"/>
        <w:numPr>
          <w:ilvl w:val="0"/>
          <w:numId w:val="2"/>
        </w:numPr>
        <w:spacing w:after="60" w:before="60" w:line="280"/>
      </w:pPr>
      <w:r>
        <w:rPr>
          <w:rFonts w:ascii="Calibri" w:cs="Calibri" w:eastAsia="Calibri" w:hAnsi="Calibri"/>
          <w:color w:val="1A1A1A"/>
          <w:sz w:val="22"/>
          <w:szCs w:val="22"/>
        </w:rPr>
        <w:t xml:space="preserve">Capital required: ~US$58,000 cash-secured or ~US$15,000-20,000 margined at IBKR</w:t>
      </w:r>
    </w:p>
    <w:p>
      <w:pPr>
        <w:spacing w:after="80" w:before="80" w:line="280"/>
        <w:jc w:val="left"/>
      </w:pPr>
      <w:r>
        <w:rPr>
          <w:rFonts w:ascii="Calibri" w:cs="Calibri" w:eastAsia="Calibri" w:hAnsi="Calibri"/>
          <w:b w:val="false"/>
          <w:bCs w:val="false"/>
          <w:i w:val="false"/>
          <w:iCs w:val="false"/>
          <w:color w:val="1A1A1A"/>
          <w:sz w:val="22"/>
          <w:szCs w:val="22"/>
        </w:rPr>
        <w:t xml:space="preserve">When to use: Eduardo is willing to own META at US$580 or below. Effectively being paid US$51.25 to potentially buy META 4.8% below current. If not assigned: ~10.6% return on US$48k committed capital. If assigned: effective cost US$529 (~13% below current). RISK: META falls to US$400 (macro shock / D&amp;A trap) → loss ~US$12,875 on the put. Capital-intensive; not suitable as the only META structure.</w:t>
      </w:r>
    </w:p>
    <w:p>
      <w:pPr>
        <w:spacing w:after="80" w:before="80"/>
      </w:pPr>
      <w:r>
        <w:t xml:space="preserve"/>
      </w:r>
    </w:p>
    <w:p>
      <w:pPr>
        <w:pStyle w:val="Heading3"/>
        <w:spacing w:after="80" w:before="160"/>
      </w:pPr>
      <w:r>
        <w:rPr>
          <w:rFonts w:ascii="Calibri" w:cs="Calibri" w:eastAsia="Calibri" w:hAnsi="Calibri"/>
          <w:b/>
          <w:bCs/>
          <w:color w:val="2E5F8A"/>
          <w:sz w:val="22"/>
          <w:szCs w:val="22"/>
        </w:rPr>
        <w:t xml:space="preserve">Structure 5: Equity + Call Spread Combination</w:t>
      </w:r>
    </w:p>
    <w:p>
      <w:pPr>
        <w:pStyle w:val="ListParagraph"/>
        <w:numPr>
          <w:ilvl w:val="0"/>
          <w:numId w:val="2"/>
        </w:numPr>
        <w:spacing w:after="60" w:before="60" w:line="280"/>
      </w:pPr>
      <w:r>
        <w:rPr>
          <w:rFonts w:ascii="Calibri" w:cs="Calibri" w:eastAsia="Calibri" w:hAnsi="Calibri"/>
          <w:color w:val="1A1A1A"/>
          <w:sz w:val="22"/>
          <w:szCs w:val="22"/>
        </w:rPr>
        <w:t xml:space="preserve">8 shares equity (~US$4,872) + 1 contract 620C/700C call spread (~US$3,000 debit) = ~US$7,872 total</w:t>
      </w:r>
    </w:p>
    <w:p>
      <w:pPr>
        <w:pStyle w:val="ListParagraph"/>
        <w:numPr>
          <w:ilvl w:val="0"/>
          <w:numId w:val="2"/>
        </w:numPr>
        <w:spacing w:after="60" w:before="60" w:line="280"/>
      </w:pPr>
      <w:r>
        <w:rPr>
          <w:rFonts w:ascii="Calibri" w:cs="Calibri" w:eastAsia="Calibri" w:hAnsi="Calibri"/>
          <w:color w:val="1A1A1A"/>
          <w:sz w:val="22"/>
          <w:szCs w:val="22"/>
        </w:rPr>
        <w:t xml:space="preserve">Linear upside: 8 shares participate in all appreciation above US$609</w:t>
      </w:r>
    </w:p>
    <w:p>
      <w:pPr>
        <w:pStyle w:val="ListParagraph"/>
        <w:numPr>
          <w:ilvl w:val="0"/>
          <w:numId w:val="2"/>
        </w:numPr>
        <w:spacing w:after="60" w:before="60" w:line="280"/>
      </w:pPr>
      <w:r>
        <w:rPr>
          <w:rFonts w:ascii="Calibri" w:cs="Calibri" w:eastAsia="Calibri" w:hAnsi="Calibri"/>
          <w:color w:val="1A1A1A"/>
          <w:sz w:val="22"/>
          <w:szCs w:val="22"/>
        </w:rPr>
        <w:t xml:space="preserve">Convexity layer: call spread pays US$5,000 max if META reaches US$700 by Dec 2026</w:t>
      </w:r>
    </w:p>
    <w:p>
      <w:pPr>
        <w:pStyle w:val="ListParagraph"/>
        <w:numPr>
          <w:ilvl w:val="0"/>
          <w:numId w:val="2"/>
        </w:numPr>
        <w:spacing w:after="60" w:before="60" w:line="280"/>
      </w:pPr>
      <w:r>
        <w:rPr>
          <w:rFonts w:ascii="Calibri" w:cs="Calibri" w:eastAsia="Calibri" w:hAnsi="Calibri"/>
          <w:color w:val="1A1A1A"/>
          <w:sz w:val="22"/>
          <w:szCs w:val="22"/>
        </w:rPr>
        <w:t xml:space="preserve">Payoff at US$700: (US$91 × 8 shares) + US$5,000 spread gain = US$5,728 on US$7,872 = 72.8% return</w:t>
      </w:r>
    </w:p>
    <w:p>
      <w:pPr>
        <w:pStyle w:val="ListParagraph"/>
        <w:numPr>
          <w:ilvl w:val="0"/>
          <w:numId w:val="2"/>
        </w:numPr>
        <w:spacing w:after="60" w:before="60" w:line="280"/>
      </w:pPr>
      <w:r>
        <w:rPr>
          <w:rFonts w:ascii="Calibri" w:cs="Calibri" w:eastAsia="Calibri" w:hAnsi="Calibri"/>
          <w:color w:val="1A1A1A"/>
          <w:sz w:val="22"/>
          <w:szCs w:val="22"/>
        </w:rPr>
        <w:t xml:space="preserve">Payoff flat at US$609: -US$3,000 spread loss + US$0 equity = -38% on options portion, -15% on total structure</w:t>
      </w:r>
    </w:p>
    <w:p>
      <w:pPr>
        <w:spacing w:after="80" w:before="80" w:line="280"/>
        <w:jc w:val="left"/>
      </w:pPr>
      <w:r>
        <w:rPr>
          <w:rFonts w:ascii="Calibri" w:cs="Calibri" w:eastAsia="Calibri" w:hAnsi="Calibri"/>
          <w:b w:val="false"/>
          <w:bCs w:val="false"/>
          <w:i w:val="false"/>
          <w:iCs w:val="false"/>
          <w:color w:val="1A1A1A"/>
          <w:sz w:val="22"/>
          <w:szCs w:val="22"/>
        </w:rPr>
        <w:t xml:space="preserve">When to use: Eduardo's primary thesis is fundamental (long-term hold, no expiration). The call spread adds time-boxed convexity for the CAPEX catalyst window through Dec 2026 (2Q26 and 3Q26 earnings). Suitable for high-conviction fundamental expression with a defined-risk overlay.</w:t>
      </w:r>
    </w:p>
    <w:p>
      <w:pPr>
        <w:spacing w:after="80" w:before="80"/>
      </w:pPr>
      <w:r>
        <w:t xml:space="preserve"/>
      </w:r>
    </w:p>
    <w:p>
      <w:pPr>
        <w:pStyle w:val="Heading2"/>
        <w:pBdr>
          <w:bottom w:val="single" w:color="2E5F8A" w:sz="4" w:space="2"/>
        </w:pBdr>
        <w:spacing w:after="100" w:before="220"/>
      </w:pPr>
      <w:r>
        <w:rPr>
          <w:rFonts w:ascii="Calibri" w:cs="Calibri" w:eastAsia="Calibri" w:hAnsi="Calibri"/>
          <w:b/>
          <w:bCs/>
          <w:color w:val="1B3A5C"/>
          <w:sz w:val="24"/>
          <w:szCs w:val="24"/>
        </w:rPr>
        <w:t xml:space="preserve">7.3  Structure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100"/>
        <w:gridCol w:w="1200"/>
        <w:gridCol w:w="1000"/>
        <w:gridCol w:w="2940"/>
      </w:tblGrid>
      <w:tr>
        <w:trPr>
          <w:tblHeader/>
        </w:trPr>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FFFFFF"/>
                <w:sz w:val="20"/>
                <w:szCs w:val="20"/>
              </w:rPr>
              <w:t xml:space="preserve">Structure</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FFFFFF"/>
                <w:sz w:val="20"/>
                <w:szCs w:val="20"/>
              </w:rPr>
              <w:t xml:space="preserve">Capital Required</w:t>
            </w:r>
          </w:p>
        </w:tc>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FFFFFF"/>
                <w:sz w:val="20"/>
                <w:szCs w:val="20"/>
              </w:rPr>
              <w:t xml:space="preserve">Max Gain</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FFFFFF"/>
                <w:sz w:val="20"/>
                <w:szCs w:val="20"/>
              </w:rPr>
              <w:t xml:space="preserve">Max Loss</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FFFFFF"/>
                <w:sz w:val="20"/>
                <w:szCs w:val="20"/>
              </w:rPr>
              <w:t xml:space="preserve">Break-even</w:t>
            </w:r>
          </w:p>
        </w:tc>
        <w:tc>
          <w:tcPr>
            <w:tcW w:type="dxa" w:w="29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FFFFFF"/>
                <w:sz w:val="20"/>
                <w:szCs w:val="20"/>
              </w:rPr>
              <w:t xml:space="preserve">Best Scenario</w:t>
            </w:r>
          </w:p>
        </w:tc>
      </w:tr>
      <w:tr>
        <w:trPr>
          <w:tblHeader w:val="false"/>
        </w:trPr>
        <w:tc>
          <w:tcPr>
            <w:tcW w:type="dxa" w:w="156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Buy call (615C Dec26)</w:t>
            </w:r>
          </w:p>
        </w:tc>
        <w:tc>
          <w:tcPr>
            <w:tcW w:type="dxa" w:w="156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~US$7,600</w:t>
            </w:r>
          </w:p>
        </w:tc>
        <w:tc>
          <w:tcPr>
            <w:tcW w:type="dxa" w:w="11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Unlimited</w:t>
            </w:r>
          </w:p>
        </w:tc>
        <w:tc>
          <w:tcPr>
            <w:tcW w:type="dxa" w:w="12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US$7,600 (100%)</w:t>
            </w:r>
          </w:p>
        </w:tc>
        <w:tc>
          <w:tcPr>
            <w:tcW w:type="dxa" w:w="10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~US$691</w:t>
            </w:r>
          </w:p>
        </w:tc>
        <w:tc>
          <w:tcPr>
            <w:tcW w:type="dxa" w:w="294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Strong bull, +15%+ by Dec26</w:t>
            </w:r>
          </w:p>
        </w:tc>
      </w:tr>
      <w:tr>
        <w:trPr>
          <w:tblHeader w:val="false"/>
        </w:trP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Put credit spread (580/540)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~US$4,000 margin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US$1,505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US$2,495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~US$565</w:t>
            </w:r>
          </w:p>
        </w:tc>
        <w:tc>
          <w:tcPr>
            <w:tcW w:type="dxa" w:w="2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Stock flat or up; no fall below US$580</w:t>
            </w:r>
          </w:p>
        </w:tc>
      </w:tr>
      <w:tr>
        <w:trPr>
          <w:tblHeader w:val="false"/>
        </w:trPr>
        <w:tc>
          <w:tcPr>
            <w:tcW w:type="dxa" w:w="156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Bull call spread (620/700)</w:t>
            </w:r>
          </w:p>
        </w:tc>
        <w:tc>
          <w:tcPr>
            <w:tcW w:type="dxa" w:w="156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~US$3,000</w:t>
            </w:r>
          </w:p>
        </w:tc>
        <w:tc>
          <w:tcPr>
            <w:tcW w:type="dxa" w:w="11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US$5,000</w:t>
            </w:r>
          </w:p>
        </w:tc>
        <w:tc>
          <w:tcPr>
            <w:tcW w:type="dxa" w:w="12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US$3,000 (100%)</w:t>
            </w:r>
          </w:p>
        </w:tc>
        <w:tc>
          <w:tcPr>
            <w:tcW w:type="dxa" w:w="10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~US$650</w:t>
            </w:r>
          </w:p>
        </w:tc>
        <w:tc>
          <w:tcPr>
            <w:tcW w:type="dxa" w:w="294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Bull, +15-25% by Dec26</w:t>
            </w:r>
          </w:p>
        </w:tc>
      </w:tr>
      <w:tr>
        <w:trPr>
          <w:tblHeader w:val="false"/>
        </w:trP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Sell put (580 Dec26)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~US$58k (cash) / ~US$17k (margin)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US$5,125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US$52,875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US$529</w:t>
            </w:r>
          </w:p>
        </w:tc>
        <w:tc>
          <w:tcPr>
            <w:tcW w:type="dxa" w:w="2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Stock flat/up; willing to buy at US$580</w:t>
            </w:r>
          </w:p>
        </w:tc>
      </w:tr>
      <w:tr>
        <w:trPr>
          <w:tblHeader w:val="false"/>
        </w:trPr>
        <w:tc>
          <w:tcPr>
            <w:tcW w:type="dxa" w:w="156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Equity + call spread</w:t>
            </w:r>
          </w:p>
        </w:tc>
        <w:tc>
          <w:tcPr>
            <w:tcW w:type="dxa" w:w="156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~US$7,872 total</w:t>
            </w:r>
          </w:p>
        </w:tc>
        <w:tc>
          <w:tcPr>
            <w:tcW w:type="dxa" w:w="11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Very high</w:t>
            </w:r>
          </w:p>
        </w:tc>
        <w:tc>
          <w:tcPr>
            <w:tcW w:type="dxa" w:w="12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US$3,000 on spread</w:t>
            </w:r>
          </w:p>
        </w:tc>
        <w:tc>
          <w:tcPr>
            <w:tcW w:type="dxa" w:w="10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N/A (equity no expiry)</w:t>
            </w:r>
          </w:p>
        </w:tc>
        <w:tc>
          <w:tcPr>
            <w:tcW w:type="dxa" w:w="294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High conviction; leveraged overlay on catalyst window</w:t>
            </w:r>
          </w:p>
        </w:tc>
      </w:tr>
    </w:tbl>
    <w:p>
      <w:pPr>
        <w:spacing w:after="120" w:before="40"/>
      </w:pPr>
      <w:r>
        <w:rPr>
          <w:rFonts w:ascii="Calibri" w:cs="Calibri" w:eastAsia="Calibri" w:hAnsi="Calibri"/>
          <w:i/>
          <w:iCs/>
          <w:color w:val="666666"/>
          <w:sz w:val="18"/>
          <w:szCs w:val="18"/>
        </w:rPr>
        <w:t xml:space="preserve">Source: Illustrative — all premiums from META_Opcoes_Estruturas_Bullish.docx, Dec 2026 expiry, stock ~US$610-612. [req. live via IBKR TWS before execution]</w:t>
      </w:r>
    </w:p>
    <w:p>
      <w:pPr>
        <w:spacing w:after="80" w:before="80"/>
      </w:pPr>
      <w:r>
        <w:t xml:space="preserve"/>
      </w:r>
    </w:p>
    <w:p>
      <w:pPr>
        <w:pStyle w:val="Heading2"/>
        <w:pBdr>
          <w:bottom w:val="single" w:color="2E5F8A" w:sz="4" w:space="2"/>
        </w:pBdr>
        <w:spacing w:after="100" w:before="220"/>
      </w:pPr>
      <w:r>
        <w:rPr>
          <w:rFonts w:ascii="Calibri" w:cs="Calibri" w:eastAsia="Calibri" w:hAnsi="Calibri"/>
          <w:b/>
          <w:bCs/>
          <w:color w:val="1B3A5C"/>
          <w:sz w:val="24"/>
          <w:szCs w:val="24"/>
        </w:rPr>
        <w:t xml:space="preserve">7.4  Structural Recommendation Framework</w:t>
      </w:r>
    </w:p>
    <w:p>
      <w:pPr>
        <w:spacing w:after="80" w:before="80" w:line="280"/>
        <w:jc w:val="left"/>
      </w:pPr>
      <w:r>
        <w:rPr>
          <w:rFonts w:ascii="Calibri" w:cs="Calibri" w:eastAsia="Calibri" w:hAnsi="Calibri"/>
          <w:b w:val="false"/>
          <w:bCs w:val="false"/>
          <w:i w:val="false"/>
          <w:iCs w:val="false"/>
          <w:color w:val="1A1A1A"/>
          <w:sz w:val="22"/>
          <w:szCs w:val="22"/>
        </w:rPr>
        <w:t xml:space="preserve">Given Eduardo's profile (capital preservation first, high-conviction concentration, Druckenmiller-style, budget ~US$5,000 for incremental options overlay):</w:t>
      </w:r>
    </w:p>
    <w:p>
      <w:pPr>
        <w:spacing w:after="40" w:before="40"/>
      </w:pPr>
      <w:r>
        <w:t xml:space="preserve"/>
      </w:r>
    </w:p>
    <w:p>
      <w:pPr>
        <w:pStyle w:val="ListParagraph"/>
        <w:numPr>
          <w:ilvl w:val="0"/>
          <w:numId w:val="2"/>
        </w:numPr>
        <w:spacing w:after="60" w:before="60" w:line="280"/>
      </w:pPr>
      <w:r>
        <w:rPr>
          <w:rFonts w:ascii="Calibri" w:cs="Calibri" w:eastAsia="Calibri" w:hAnsi="Calibri"/>
          <w:color w:val="1A1A1A"/>
          <w:sz w:val="22"/>
          <w:szCs w:val="22"/>
        </w:rPr>
        <w:t xml:space="preserve">"META definitely rallies to US$700+ by Dec 2026": Bull call spread (620C/700C) — best risk/reward for the target, within budget, maximum US$3,000 loss.</w:t>
      </w:r>
    </w:p>
    <w:p>
      <w:pPr>
        <w:pStyle w:val="ListParagraph"/>
        <w:numPr>
          <w:ilvl w:val="0"/>
          <w:numId w:val="2"/>
        </w:numPr>
        <w:spacing w:after="60" w:before="60" w:line="280"/>
      </w:pPr>
      <w:r>
        <w:rPr>
          <w:rFonts w:ascii="Calibri" w:cs="Calibri" w:eastAsia="Calibri" w:hAnsi="Calibri"/>
          <w:color w:val="1A1A1A"/>
          <w:sz w:val="22"/>
          <w:szCs w:val="22"/>
        </w:rPr>
        <w:t xml:space="preserve">"META stays flat or goes up, but not necessarily to US$700": Put credit spread (580P/540P) — generates income, requires less directional view, fits budget, theta positive.</w:t>
      </w:r>
    </w:p>
    <w:p>
      <w:pPr>
        <w:pStyle w:val="ListParagraph"/>
        <w:numPr>
          <w:ilvl w:val="0"/>
          <w:numId w:val="2"/>
        </w:numPr>
        <w:spacing w:after="60" w:before="60" w:line="280"/>
      </w:pPr>
      <w:r>
        <w:rPr>
          <w:rFonts w:ascii="Calibri" w:cs="Calibri" w:eastAsia="Calibri" w:hAnsi="Calibri"/>
          <w:color w:val="1A1A1A"/>
          <w:sz w:val="22"/>
          <w:szCs w:val="22"/>
        </w:rPr>
        <w:t xml:space="preserve">"META works over 1-2 years, want convexity for CAPEX catalyst window": Equity + call spread combination — preserves fundamental exposure, adds time-boxed leverage.</w:t>
      </w:r>
    </w:p>
    <w:p>
      <w:pPr>
        <w:pStyle w:val="ListParagraph"/>
        <w:numPr>
          <w:ilvl w:val="0"/>
          <w:numId w:val="2"/>
        </w:numPr>
        <w:spacing w:after="60" w:before="60" w:line="280"/>
      </w:pPr>
      <w:r>
        <w:rPr>
          <w:rFonts w:ascii="Calibri" w:cs="Calibri" w:eastAsia="Calibri" w:hAnsi="Calibri"/>
          <w:color w:val="1A1A1A"/>
          <w:sz w:val="22"/>
          <w:szCs w:val="22"/>
        </w:rPr>
        <w:t xml:space="preserve">"Budget is flexible; would genuinely buy more META at US$580": Sell put (580) — most capital-efficient on margin; aligns with sizing philosophy (pre-committing to buy at a discount).</w:t>
      </w:r>
    </w:p>
    <w:p>
      <w:pPr>
        <w:pStyle w:val="Heading1"/>
        <w:pageBreakBefore/>
        <w:shd w:fill="1B3A5C" w:val="clear"/>
        <w:spacing w:after="160" w:before="300"/>
      </w:pPr>
      <w:r>
        <w:rPr>
          <w:rFonts w:ascii="Calibri" w:cs="Calibri" w:eastAsia="Calibri" w:hAnsi="Calibri"/>
          <w:b/>
          <w:bCs/>
          <w:color w:val="FFFFFF"/>
          <w:sz w:val="30"/>
          <w:szCs w:val="30"/>
        </w:rPr>
        <w:t xml:space="preserve">8. INVESTMENT MERITS</w:t>
      </w:r>
    </w:p>
    <w:p>
      <w:pPr>
        <w:spacing w:after="80" w:before="80" w:line="280"/>
        <w:jc w:val="left"/>
      </w:pPr>
      <w:r>
        <w:rPr>
          <w:rFonts w:ascii="Calibri" w:cs="Calibri" w:eastAsia="Calibri" w:hAnsi="Calibri"/>
          <w:b w:val="false"/>
          <w:bCs w:val="false"/>
          <w:i w:val="false"/>
          <w:iCs w:val="false"/>
          <w:color w:val="1A1A1A"/>
          <w:sz w:val="22"/>
          <w:szCs w:val="22"/>
        </w:rPr>
        <w:t xml:space="preserve">Merits are interpretive, not descriptive. Each explains why a structural feature translates into investable edge.</w:t>
      </w:r>
    </w:p>
    <w:p>
      <w:pPr>
        <w:spacing w:after="80" w:before="80"/>
      </w:pPr>
      <w:r>
        <w:t xml:space="preserve"/>
      </w:r>
    </w:p>
    <w:p>
      <w:pPr>
        <w:pStyle w:val="Heading2"/>
        <w:pBdr>
          <w:bottom w:val="single" w:color="2E5F8A" w:sz="4" w:space="2"/>
        </w:pBdr>
        <w:spacing w:after="100" w:before="220"/>
      </w:pPr>
      <w:r>
        <w:rPr>
          <w:rFonts w:ascii="Calibri" w:cs="Calibri" w:eastAsia="Calibri" w:hAnsi="Calibri"/>
          <w:b/>
          <w:bCs/>
          <w:color w:val="1B3A5C"/>
          <w:sz w:val="24"/>
          <w:szCs w:val="24"/>
        </w:rPr>
        <w:t xml:space="preserve">Merit 1: Advantage+ as a Closed-Loop Advertising Flywheel</w:t>
      </w:r>
    </w:p>
    <w:p>
      <w:pPr>
        <w:spacing w:after="80" w:before="80" w:line="280"/>
        <w:jc w:val="left"/>
      </w:pPr>
      <w:r>
        <w:rPr>
          <w:rFonts w:ascii="Calibri" w:cs="Calibri" w:eastAsia="Calibri" w:hAnsi="Calibri"/>
          <w:b w:val="false"/>
          <w:bCs w:val="false"/>
          <w:i w:val="false"/>
          <w:iCs w:val="false"/>
          <w:color w:val="1A1A1A"/>
          <w:sz w:val="22"/>
          <w:szCs w:val="22"/>
        </w:rPr>
        <w:t xml:space="preserve">This is not "META has strong AI-driven ads." The interpretive merit: Advantage+ creates a closed-loop system where every advertiser dollar spent improves META's targeting algorithm, which improves advertiser ROI, which attracts more advertising spend. This is a compounding flywheel, not a static feature.</w:t>
      </w:r>
    </w:p>
    <w:p>
      <w:pPr>
        <w:spacing w:after="40" w:before="40"/>
      </w:pPr>
      <w:r>
        <w:t xml:space="preserve"/>
      </w:r>
    </w:p>
    <w:p>
      <w:pPr>
        <w:spacing w:after="80" w:before="80" w:line="280"/>
        <w:jc w:val="left"/>
      </w:pPr>
      <w:r>
        <w:rPr>
          <w:rFonts w:ascii="Calibri" w:cs="Calibri" w:eastAsia="Calibri" w:hAnsi="Calibri"/>
          <w:b w:val="false"/>
          <w:bCs w:val="false"/>
          <w:i w:val="false"/>
          <w:iCs w:val="false"/>
          <w:color w:val="1A1A1A"/>
          <w:sz w:val="22"/>
          <w:szCs w:val="22"/>
        </w:rPr>
        <w:t xml:space="preserve">The evidence: 1Q26 revenue +33% YoY [IR] while the broader digital advertising market grew at approximately mid-teens (Incrementum est. based on industry context). META is taking wallet share at scale. Historically, periods of accelerating advertising share gain have preceded multiple re-ratings, not P/E compression. The market currently prices META at a discount to GOOGL despite this dynamic — creating the anomaly.</w:t>
      </w:r>
    </w:p>
    <w:p>
      <w:pPr>
        <w:spacing w:after="40" w:before="40"/>
      </w:pPr>
      <w:r>
        <w:t xml:space="preserve"/>
      </w:r>
    </w:p>
    <w:p>
      <w:pPr>
        <w:spacing w:after="80" w:before="80" w:line="280"/>
        <w:jc w:val="left"/>
      </w:pPr>
      <w:r>
        <w:rPr>
          <w:rFonts w:ascii="Calibri" w:cs="Calibri" w:eastAsia="Calibri" w:hAnsi="Calibri"/>
          <w:b w:val="false"/>
          <w:bCs w:val="false"/>
          <w:i w:val="false"/>
          <w:iCs w:val="false"/>
          <w:color w:val="1A1A1A"/>
          <w:sz w:val="22"/>
          <w:szCs w:val="22"/>
        </w:rPr>
        <w:t xml:space="preserve">The compounding mechanism: as META's data advantage grows (3.43bn daily active people, behavioural signals across all apps [IR]), Advantage+ targeting improves in a way that becomes increasingly difficult for smaller platforms (Snap, Pinterest, TikTok) to replicate. Scale begets scale.</w:t>
      </w:r>
    </w:p>
    <w:p>
      <w:pPr>
        <w:spacing w:after="100" w:before="100"/>
      </w:pPr>
      <w:r>
        <w:t xml:space="preserve"/>
      </w:r>
    </w:p>
    <w:p>
      <w:pPr>
        <w:pStyle w:val="Heading2"/>
        <w:pBdr>
          <w:bottom w:val="single" w:color="2E5F8A" w:sz="4" w:space="2"/>
        </w:pBdr>
        <w:spacing w:after="100" w:before="220"/>
      </w:pPr>
      <w:r>
        <w:rPr>
          <w:rFonts w:ascii="Calibri" w:cs="Calibri" w:eastAsia="Calibri" w:hAnsi="Calibri"/>
          <w:b/>
          <w:bCs/>
          <w:color w:val="1B3A5C"/>
          <w:sz w:val="24"/>
          <w:szCs w:val="24"/>
        </w:rPr>
        <w:t xml:space="preserve">Merit 2: CAPEX as Competitive Moat Construction</w:t>
      </w:r>
    </w:p>
    <w:p>
      <w:pPr>
        <w:spacing w:after="80" w:before="80" w:line="280"/>
        <w:jc w:val="left"/>
      </w:pPr>
      <w:r>
        <w:rPr>
          <w:rFonts w:ascii="Calibri" w:cs="Calibri" w:eastAsia="Calibri" w:hAnsi="Calibri"/>
          <w:b w:val="false"/>
          <w:bCs w:val="false"/>
          <w:i w:val="false"/>
          <w:iCs w:val="false"/>
          <w:color w:val="1A1A1A"/>
          <w:sz w:val="22"/>
          <w:szCs w:val="22"/>
        </w:rPr>
        <w:t xml:space="preserve">The interpretive merit: who can spend US$125-145bn/year building AI infrastructure? Approximately four companies globally (META, GOOGL, MSFT, AMZN). This is the moat. Smaller social media competitors cannot replicate this infrastructure at any price point. This CAPEX is not a tax — it is a barrier to entry being constructed in real time.</w:t>
      </w:r>
    </w:p>
    <w:p>
      <w:pPr>
        <w:spacing w:after="40" w:before="40"/>
      </w:pPr>
      <w:r>
        <w:t xml:space="preserve"/>
      </w:r>
    </w:p>
    <w:p>
      <w:pPr>
        <w:spacing w:after="80" w:before="80" w:line="280"/>
        <w:jc w:val="left"/>
      </w:pPr>
      <w:r>
        <w:rPr>
          <w:rFonts w:ascii="Calibri" w:cs="Calibri" w:eastAsia="Calibri" w:hAnsi="Calibri"/>
          <w:b w:val="false"/>
          <w:bCs w:val="false"/>
          <w:i w:val="false"/>
          <w:iCs w:val="false"/>
          <w:color w:val="1A1A1A"/>
          <w:sz w:val="22"/>
          <w:szCs w:val="22"/>
        </w:rPr>
        <w:t xml:space="preserve">The analogy from IncrementumOS framework: META's CAPEX is to advertising infrastructure what toll roads are to physical infrastructure. The cost of building the road creates the moat — not just the revenue from traffic. Once the road (infrastructure) exists, competitors face a much higher cost of entry, and the operator captures the economics indefinitely.</w:t>
      </w:r>
    </w:p>
    <w:p>
      <w:pPr>
        <w:spacing w:after="40" w:before="40"/>
      </w:pPr>
      <w:r>
        <w:t xml:space="preserve"/>
      </w:r>
    </w:p>
    <w:p>
      <w:pPr>
        <w:spacing w:after="80" w:before="80" w:line="280"/>
        <w:jc w:val="left"/>
      </w:pPr>
      <w:r>
        <w:rPr>
          <w:rFonts w:ascii="Calibri" w:cs="Calibri" w:eastAsia="Calibri" w:hAnsi="Calibri"/>
          <w:b w:val="false"/>
          <w:bCs w:val="false"/>
          <w:i w:val="false"/>
          <w:iCs w:val="false"/>
          <w:color w:val="1A1A1A"/>
          <w:sz w:val="22"/>
          <w:szCs w:val="22"/>
        </w:rPr>
        <w:t xml:space="preserve">The specific CAPEX items reinforce the moat thesis: (a) MTIA chips are optimised specifically for META's recommendation and ranking workloads — a generic GPU cluster cannot replicate this efficiency advantage; (b) Llama open-source model distribution creates an ecosystem lock-in across developers and enterprises, driving Meta AI adoption; (c) Data centre ownership (vs. cloud-rented) provides long-run cost advantages as the infrastructure depreciates.</w:t>
      </w:r>
    </w:p>
    <w:p>
      <w:pPr>
        <w:spacing w:after="40" w:before="40"/>
      </w:pPr>
      <w:r>
        <w:t xml:space="preserve"/>
      </w:r>
    </w:p>
    <w:p>
      <w:pPr>
        <w:spacing w:after="80" w:before="80" w:line="280"/>
        <w:jc w:val="left"/>
      </w:pPr>
      <w:r>
        <w:rPr>
          <w:rFonts w:ascii="Calibri" w:cs="Calibri" w:eastAsia="Calibri" w:hAnsi="Calibri"/>
          <w:b w:val="false"/>
          <w:bCs w:val="false"/>
          <w:i w:val="false"/>
          <w:iCs w:val="false"/>
          <w:color w:val="1A1A1A"/>
          <w:sz w:val="22"/>
          <w:szCs w:val="22"/>
        </w:rPr>
        <w:t xml:space="preserve">Important distinction: the barrier created by this CAPEX is not infrastructure competing with GCP or Azure. META does not sell compute capacity to third parties and has no intention to do so. The moat is specifically a cost-of-replication barrier in advertising AI: no medium-scale competitor can invest US$125-145bn/year in infrastructure dedicated to optimising ad targeting. Snap, Pinterest, and TikTok operate at CAPEX scales 20-50x smaller. The MTIA clusters and GPU infrastructure exist for a single commercial function — making Advantage+ 10x better at ad delivery than any competitor can achieve. That advertising efficiency advantage, not generic cloud economics, is the durable moat this CAPEX is constructing.</w:t>
      </w:r>
    </w:p>
    <w:p>
      <w:pPr>
        <w:spacing w:after="100" w:before="100"/>
      </w:pPr>
      <w:r>
        <w:t xml:space="preserve"/>
      </w:r>
    </w:p>
    <w:p>
      <w:pPr>
        <w:pStyle w:val="Heading2"/>
        <w:pBdr>
          <w:bottom w:val="single" w:color="2E5F8A" w:sz="4" w:space="2"/>
        </w:pBdr>
        <w:spacing w:after="100" w:before="220"/>
      </w:pPr>
      <w:r>
        <w:rPr>
          <w:rFonts w:ascii="Calibri" w:cs="Calibri" w:eastAsia="Calibri" w:hAnsi="Calibri"/>
          <w:b/>
          <w:bCs/>
          <w:color w:val="1B3A5C"/>
          <w:sz w:val="24"/>
          <w:szCs w:val="24"/>
        </w:rPr>
        <w:t xml:space="preserve">Merit 3: Multiple Compression Is the Opportunity</w:t>
      </w:r>
    </w:p>
    <w:p>
      <w:pPr>
        <w:spacing w:after="80" w:before="80" w:line="280"/>
        <w:jc w:val="left"/>
      </w:pPr>
      <w:r>
        <w:rPr>
          <w:rFonts w:ascii="Calibri" w:cs="Calibri" w:eastAsia="Calibri" w:hAnsi="Calibri"/>
          <w:b w:val="false"/>
          <w:bCs w:val="false"/>
          <w:i w:val="false"/>
          <w:iCs w:val="false"/>
          <w:color w:val="1A1A1A"/>
          <w:sz w:val="22"/>
          <w:szCs w:val="22"/>
        </w:rPr>
        <w:t xml:space="preserve">The interpretive merit: the market applies a CAPEX penalty to META because META has no cloud revenue (unlike GOOGL/MSFT/AMZN), making the CAPEX cycle look like pure cost with deferred, uncertain payoff. This is a structural misunderstanding — and structural misunderstandings create durable pricing opportunities.</w:t>
      </w:r>
    </w:p>
    <w:p>
      <w:pPr>
        <w:spacing w:after="40" w:before="40"/>
      </w:pPr>
      <w:r>
        <w:t xml:space="preserve"/>
      </w:r>
    </w:p>
    <w:p>
      <w:pPr>
        <w:spacing w:after="80" w:before="80" w:line="280"/>
        <w:jc w:val="left"/>
      </w:pPr>
      <w:r>
        <w:rPr>
          <w:rFonts w:ascii="Calibri" w:cs="Calibri" w:eastAsia="Calibri" w:hAnsi="Calibri"/>
          <w:b w:val="false"/>
          <w:bCs w:val="false"/>
          <w:i w:val="false"/>
          <w:iCs w:val="false"/>
          <w:color w:val="1A1A1A"/>
          <w:sz w:val="22"/>
          <w:szCs w:val="22"/>
        </w:rPr>
        <w:t xml:space="preserve">GOOGL at ~20x P/E also has CAPEX risk (US$75bn 2026E guidance) but the cloud revenue narrative provides analytical cover. Investors can point to Google Cloud revenue growth and assign CAPEX against it. META cannot offer this narrative. ALL of META's infrastructure investment must generate ROI through advertising efficiency and future AI applications — which the market currently treats as uncertain.</w:t>
      </w:r>
    </w:p>
    <w:p>
      <w:pPr>
        <w:spacing w:after="40" w:before="40"/>
      </w:pPr>
      <w:r>
        <w:t xml:space="preserve"/>
      </w:r>
    </w:p>
    <w:p>
      <w:pPr>
        <w:spacing w:after="80" w:before="80" w:line="280"/>
        <w:jc w:val="left"/>
      </w:pPr>
      <w:r>
        <w:rPr>
          <w:rFonts w:ascii="Calibri" w:cs="Calibri" w:eastAsia="Calibri" w:hAnsi="Calibri"/>
          <w:b w:val="false"/>
          <w:bCs w:val="false"/>
          <w:i w:val="false"/>
          <w:iCs w:val="false"/>
          <w:color w:val="1A1A1A"/>
          <w:sz w:val="22"/>
          <w:szCs w:val="22"/>
        </w:rPr>
        <w:t xml:space="preserve">The re-rating catalyst is NOT AI monetisation (that would be an upside surprise on top of the base case). It is CAPEX narrative resolution in 2027 — when D&amp;A steps up but revenue grows through it anyway, demonstrating that the moat is real and the investment is paying off. That is when the discount to GOOGL closes, and META's P/E re-rates from ~19x toward ~22-24x.</w:t>
      </w:r>
    </w:p>
    <w:p>
      <w:pPr>
        <w:pStyle w:val="Heading1"/>
        <w:pageBreakBefore/>
        <w:shd w:fill="1B3A5C" w:val="clear"/>
        <w:spacing w:after="160" w:before="300"/>
      </w:pPr>
      <w:r>
        <w:rPr>
          <w:rFonts w:ascii="Calibri" w:cs="Calibri" w:eastAsia="Calibri" w:hAnsi="Calibri"/>
          <w:b/>
          <w:bCs/>
          <w:color w:val="FFFFFF"/>
          <w:sz w:val="30"/>
          <w:szCs w:val="30"/>
        </w:rPr>
        <w:t xml:space="preserve">9. RISKS AND MITIGANTS</w:t>
      </w:r>
    </w:p>
    <w:p>
      <w:pPr>
        <w:spacing w:after="80" w:before="80" w:line="280"/>
        <w:jc w:val="left"/>
      </w:pPr>
      <w:r>
        <w:rPr>
          <w:rFonts w:ascii="Calibri" w:cs="Calibri" w:eastAsia="Calibri" w:hAnsi="Calibri"/>
          <w:b w:val="false"/>
          <w:bCs w:val="false"/>
          <w:i w:val="false"/>
          <w:iCs w:val="false"/>
          <w:color w:val="1A1A1A"/>
          <w:sz w:val="22"/>
          <w:szCs w:val="22"/>
        </w:rPr>
        <w:t xml:space="preserve">Bear cases are modelled with their own numbers, not outsourced to sell-side mitigants.</w:t>
      </w:r>
    </w:p>
    <w:p>
      <w:pPr>
        <w:spacing w:after="80" w:before="80"/>
      </w:pPr>
      <w:r>
        <w:t xml:space="preserve"/>
      </w:r>
    </w:p>
    <w:p>
      <w:pPr>
        <w:pStyle w:val="Heading2"/>
        <w:pBdr>
          <w:bottom w:val="single" w:color="2E5F8A" w:sz="4" w:space="2"/>
        </w:pBdr>
        <w:spacing w:after="100" w:before="220"/>
      </w:pPr>
      <w:r>
        <w:rPr>
          <w:rFonts w:ascii="Calibri" w:cs="Calibri" w:eastAsia="Calibri" w:hAnsi="Calibri"/>
          <w:b/>
          <w:bCs/>
          <w:color w:val="1B3A5C"/>
          <w:sz w:val="24"/>
          <w:szCs w:val="24"/>
        </w:rPr>
        <w:t xml:space="preserve">Risk 1: D&amp;A Trap (Core Risk)</w:t>
      </w:r>
    </w:p>
    <w:p>
      <w:pPr>
        <w:spacing w:after="80" w:before="80" w:line="280"/>
        <w:jc w:val="left"/>
      </w:pPr>
      <w:r>
        <w:rPr>
          <w:rFonts w:ascii="Calibri" w:cs="Calibri" w:eastAsia="Calibri" w:hAnsi="Calibri"/>
          <w:b/>
          <w:bCs/>
          <w:color w:val="8B1A1A"/>
          <w:sz w:val="22"/>
          <w:szCs w:val="22"/>
        </w:rPr>
        <w:t xml:space="preserve">Probability: ~25-30% (Incrementum est.)  |  Severity: High  |  Time horizon: 2027-2028</w:t>
      </w:r>
    </w:p>
    <w:p>
      <w:pPr>
        <w:spacing w:after="40" w:before="40"/>
      </w:pPr>
      <w:r>
        <w:t xml:space="preserve"/>
      </w:r>
    </w:p>
    <w:p>
      <w:pPr>
        <w:spacing w:after="80" w:before="80" w:line="280"/>
        <w:jc w:val="left"/>
      </w:pPr>
      <w:r>
        <w:rPr>
          <w:rFonts w:ascii="Calibri" w:cs="Calibri" w:eastAsia="Calibri" w:hAnsi="Calibri"/>
          <w:b w:val="false"/>
          <w:bCs w:val="false"/>
          <w:i w:val="false"/>
          <w:iCs w:val="false"/>
          <w:color w:val="1A1A1A"/>
          <w:sz w:val="22"/>
          <w:szCs w:val="22"/>
        </w:rPr>
        <w:t xml:space="preserve">Risk description: META's CAPEX of US$125-145bn in 2026 creates a D&amp;A wave that could reach US$45-50bn by 2028E (bear case: 5-yr useful life). If advertising revenue growth decelerates to 10-12% YoY by 2027 (from +33% in 1Q26), 2028E revenue may reach only ~US$230-250bn (bear case) vs. US$325bn base. At US$250bn revenue with 36% EBIT margin = US$90bn EBIT (D&amp;A is already inside EBIT). Net income at 21% tax = ~US$71bn. EPS ~US$27.7. At 16x P/E = US$443. That is 27% below current price.</w:t>
      </w:r>
    </w:p>
    <w:p>
      <w:pPr>
        <w:spacing w:after="40" w:before="40"/>
      </w:pPr>
      <w:r>
        <w:t xml:space="preserve"/>
      </w:r>
    </w:p>
    <w:p>
      <w:pPr>
        <w:spacing w:after="80" w:before="80" w:line="280"/>
        <w:jc w:val="left"/>
      </w:pPr>
      <w:r>
        <w:rPr>
          <w:rFonts w:ascii="Calibri" w:cs="Calibri" w:eastAsia="Calibri" w:hAnsi="Calibri"/>
          <w:b w:val="false"/>
          <w:bCs w:val="false"/>
          <w:i w:val="false"/>
          <w:iCs w:val="false"/>
          <w:color w:val="1A1A1A"/>
          <w:sz w:val="22"/>
          <w:szCs w:val="22"/>
        </w:rPr>
        <w:t xml:space="preserve">What would need to happen: (a) Advertising market recession (global GDP contraction); (b) Systematic ad market share loss to TikTok internationally (US ban may stay, but TikTok continues globally); (c) Privacy regulation materially limiting targeting (EU DSA enforcement, US legislation); (d) Advantage+ reaching diminishing returns faster than expected — the +33% growth was the last marginal benefit of the AI targeting upgrade, not the beginning of a new curve.</w:t>
      </w:r>
    </w:p>
    <w:p>
      <w:pPr>
        <w:spacing w:after="40" w:before="40"/>
      </w:pPr>
      <w:r>
        <w:t xml:space="preserve"/>
      </w:r>
    </w:p>
    <w:p>
      <w:pPr>
        <w:spacing w:after="80" w:before="80" w:line="280"/>
        <w:jc w:val="left"/>
      </w:pPr>
      <w:r>
        <w:rPr>
          <w:rFonts w:ascii="Calibri" w:cs="Calibri" w:eastAsia="Calibri" w:hAnsi="Calibri"/>
          <w:b/>
          <w:bCs/>
          <w:color w:val="1A1A1A"/>
          <w:sz w:val="22"/>
          <w:szCs w:val="22"/>
        </w:rPr>
        <w:t xml:space="preserve">Mitigant: </w:t>
      </w:r>
      <w:r>
        <w:rPr>
          <w:rFonts w:ascii="Calibri" w:cs="Calibri" w:eastAsia="Calibri" w:hAnsi="Calibri"/>
          <w:color w:val="1A1A1A"/>
          <w:sz w:val="22"/>
          <w:szCs w:val="22"/>
        </w:rPr>
        <w:t xml:space="preserve">1Q26 +33% YoY revenue growth during peak CAPEX spend is the single most powerful mitigant — the advertising engine is growing through the investment cycle, not waiting for it to complete. However, one quarter is not a trend. 2Q26 guide (US$58-61bn, +15-19% YoY) is the next test. Current 10.6% NAV position is the right size for a position with this tail risk. Adding to &gt;15% NAV should wait for 2Q26 confirmation.</w:t>
      </w:r>
    </w:p>
    <w:p>
      <w:pPr>
        <w:spacing w:after="100" w:before="100"/>
      </w:pPr>
      <w:r>
        <w:t xml:space="preserve"/>
      </w:r>
    </w:p>
    <w:p>
      <w:pPr>
        <w:pStyle w:val="Heading2"/>
        <w:pBdr>
          <w:bottom w:val="single" w:color="2E5F8A" w:sz="4" w:space="2"/>
        </w:pBdr>
        <w:spacing w:after="100" w:before="220"/>
      </w:pPr>
      <w:r>
        <w:rPr>
          <w:rFonts w:ascii="Calibri" w:cs="Calibri" w:eastAsia="Calibri" w:hAnsi="Calibri"/>
          <w:b/>
          <w:bCs/>
          <w:color w:val="1B3A5C"/>
          <w:sz w:val="24"/>
          <w:szCs w:val="24"/>
        </w:rPr>
        <w:t xml:space="preserve">Risk 2: Macroeconomic Shock — Advertising Recession</w:t>
      </w:r>
    </w:p>
    <w:p>
      <w:pPr>
        <w:spacing w:after="80" w:before="80" w:line="280"/>
        <w:jc w:val="left"/>
      </w:pPr>
      <w:r>
        <w:rPr>
          <w:rFonts w:ascii="Calibri" w:cs="Calibri" w:eastAsia="Calibri" w:hAnsi="Calibri"/>
          <w:b/>
          <w:bCs/>
          <w:color w:val="8B1A1A"/>
          <w:sz w:val="22"/>
          <w:szCs w:val="22"/>
        </w:rPr>
        <w:t xml:space="preserve">Probability: ~10-15% (Incrementum est.)  |  Severity: Very High  |  Time horizon: 2026-2027</w:t>
      </w:r>
    </w:p>
    <w:p>
      <w:pPr>
        <w:spacing w:after="40" w:before="40"/>
      </w:pPr>
      <w:r>
        <w:t xml:space="preserve"/>
      </w:r>
    </w:p>
    <w:p>
      <w:pPr>
        <w:spacing w:after="80" w:before="80" w:line="280"/>
        <w:jc w:val="left"/>
      </w:pPr>
      <w:r>
        <w:rPr>
          <w:rFonts w:ascii="Calibri" w:cs="Calibri" w:eastAsia="Calibri" w:hAnsi="Calibri"/>
          <w:b w:val="false"/>
          <w:bCs w:val="false"/>
          <w:i w:val="false"/>
          <w:iCs w:val="false"/>
          <w:color w:val="1A1A1A"/>
          <w:sz w:val="22"/>
          <w:szCs w:val="22"/>
        </w:rPr>
        <w:t xml:space="preserve">Risk description: Digital advertising is GDP-linked. META's worst revenue result: 2022 at -1% YoY [IR]. The -5% or worse scenario has no historical precedent at META's scale — it would require a deep global recession, not a mild contraction. Historical context: during 2020 COVID, META revenue grew +22% in 2H 2020 after a brief 1H dip. The 2022 decline was primarily iOS 14.5 privacy impact and currency effects, not demand destruction. A severe global recession (&gt;3% GDP contraction) combined with tariff-driven supply chain disruption reducing advertiser budgets could produce -10% to -15% revenue in a trough year.</w:t>
      </w:r>
    </w:p>
    <w:p>
      <w:pPr>
        <w:spacing w:after="40" w:before="40"/>
      </w:pPr>
      <w:r>
        <w:t xml:space="preserve"/>
      </w:r>
    </w:p>
    <w:p>
      <w:pPr>
        <w:spacing w:after="80" w:before="80" w:line="280"/>
        <w:jc w:val="left"/>
      </w:pPr>
      <w:r>
        <w:rPr>
          <w:rFonts w:ascii="Calibri" w:cs="Calibri" w:eastAsia="Calibri" w:hAnsi="Calibri"/>
          <w:b w:val="false"/>
          <w:bCs w:val="false"/>
          <w:i w:val="false"/>
          <w:iCs w:val="false"/>
          <w:color w:val="1A1A1A"/>
          <w:sz w:val="22"/>
          <w:szCs w:val="22"/>
        </w:rPr>
        <w:t xml:space="preserve">Severe bear scenario (Incrementum est.): -15% revenue from 2025A base → ~US$171bn. 30% EBIT margin → ~US$51bn EBIT. EPS ~US$15. P/E 12x → ~US$180. This is the DCF floor collapse scenario.</w:t>
      </w:r>
    </w:p>
    <w:p>
      <w:pPr>
        <w:spacing w:after="40" w:before="40"/>
      </w:pPr>
      <w:r>
        <w:t xml:space="preserve"/>
      </w:r>
    </w:p>
    <w:p>
      <w:pPr>
        <w:spacing w:after="80" w:before="80" w:line="280"/>
        <w:jc w:val="left"/>
      </w:pPr>
      <w:r>
        <w:rPr>
          <w:rFonts w:ascii="Calibri" w:cs="Calibri" w:eastAsia="Calibri" w:hAnsi="Calibri"/>
          <w:b/>
          <w:bCs/>
          <w:color w:val="1A1A1A"/>
          <w:sz w:val="22"/>
          <w:szCs w:val="22"/>
        </w:rPr>
        <w:t xml:space="preserve">Mitigant: </w:t>
      </w:r>
      <w:r>
        <w:rPr>
          <w:rFonts w:ascii="Calibri" w:cs="Calibri" w:eastAsia="Calibri" w:hAnsi="Calibri"/>
          <w:color w:val="1A1A1A"/>
          <w:sz w:val="22"/>
          <w:szCs w:val="22"/>
        </w:rPr>
        <w:t xml:space="preserve">Geographic diversification means US macro alone is not catastrophic — EU and APAC would need to contract simultaneously. META's direct-response advertising (e-commerce, SMB) is more resilient than brand advertising. SBC ~US$24bn and buybacks ~US$45bn/yr provide EPS support in moderate declines. This risk is systemic and affects the entire equity portfolio, not just META.</w:t>
      </w:r>
    </w:p>
    <w:p>
      <w:pPr>
        <w:spacing w:after="100" w:before="100"/>
      </w:pPr>
      <w:r>
        <w:t xml:space="preserve"/>
      </w:r>
    </w:p>
    <w:p>
      <w:pPr>
        <w:pStyle w:val="Heading2"/>
        <w:pBdr>
          <w:bottom w:val="single" w:color="2E5F8A" w:sz="4" w:space="2"/>
        </w:pBdr>
        <w:spacing w:after="100" w:before="220"/>
      </w:pPr>
      <w:r>
        <w:rPr>
          <w:rFonts w:ascii="Calibri" w:cs="Calibri" w:eastAsia="Calibri" w:hAnsi="Calibri"/>
          <w:b/>
          <w:bCs/>
          <w:color w:val="1B3A5C"/>
          <w:sz w:val="24"/>
          <w:szCs w:val="24"/>
        </w:rPr>
        <w:t xml:space="preserve">Risk 3: Regulatory — Transatlantic Targeting Restrictions</w:t>
      </w:r>
    </w:p>
    <w:p>
      <w:pPr>
        <w:spacing w:after="80" w:before="80" w:line="280"/>
        <w:jc w:val="left"/>
      </w:pPr>
      <w:r>
        <w:rPr>
          <w:rFonts w:ascii="Calibri" w:cs="Calibri" w:eastAsia="Calibri" w:hAnsi="Calibri"/>
          <w:b/>
          <w:bCs/>
          <w:color w:val="8B1A1A"/>
          <w:sz w:val="22"/>
          <w:szCs w:val="22"/>
        </w:rPr>
        <w:t xml:space="preserve">Probability: ~10% material impact (Incrementum est.)  |  Severity: Existential for advertising model  |  Time horizon: 2027-2029+</w:t>
      </w:r>
    </w:p>
    <w:p>
      <w:pPr>
        <w:spacing w:after="40" w:before="40"/>
      </w:pPr>
      <w:r>
        <w:t xml:space="preserve"/>
      </w:r>
    </w:p>
    <w:p>
      <w:pPr>
        <w:spacing w:after="80" w:before="80" w:line="280"/>
        <w:jc w:val="left"/>
      </w:pPr>
      <w:r>
        <w:rPr>
          <w:rFonts w:ascii="Calibri" w:cs="Calibri" w:eastAsia="Calibri" w:hAnsi="Calibri"/>
          <w:b w:val="false"/>
          <w:bCs w:val="false"/>
          <w:i w:val="false"/>
          <w:iCs w:val="false"/>
          <w:color w:val="1A1A1A"/>
          <w:sz w:val="22"/>
          <w:szCs w:val="22"/>
        </w:rPr>
        <w:t xml:space="preserve">Risk description: EU DSA (Digital Services Act) and GDPR enforcement could prohibit behavioural targeting underpinning Advantage+. A ruling requiring META to operate without interest-based targeting in Europe (~25% of revenue) could reduce European revenue by 30-50%, implying ~7.5-12.5% total revenue impact. Combined with potential US privacy legislation, this is the existential tail risk for the advertising model.</w:t>
      </w:r>
    </w:p>
    <w:p>
      <w:pPr>
        <w:spacing w:after="40" w:before="40"/>
      </w:pPr>
      <w:r>
        <w:t xml:space="preserve"/>
      </w:r>
    </w:p>
    <w:p>
      <w:pPr>
        <w:spacing w:after="80" w:before="80" w:line="280"/>
        <w:jc w:val="left"/>
      </w:pPr>
      <w:r>
        <w:rPr>
          <w:rFonts w:ascii="Calibri" w:cs="Calibri" w:eastAsia="Calibri" w:hAnsi="Calibri"/>
          <w:b w:val="false"/>
          <w:bCs w:val="false"/>
          <w:i w:val="false"/>
          <w:iCs w:val="false"/>
          <w:color w:val="1A1A1A"/>
          <w:sz w:val="22"/>
          <w:szCs w:val="22"/>
        </w:rPr>
        <w:t xml:space="preserve">This risk is distinct from and more dangerous than breakup risk (Instagram/WhatsApp divestiture, which could actually be value-accretive at current prices). Targeting restrictions directly impair monetisation without creating new value.</w:t>
      </w:r>
    </w:p>
    <w:p>
      <w:pPr>
        <w:spacing w:after="40" w:before="40"/>
      </w:pPr>
      <w:r>
        <w:t xml:space="preserve"/>
      </w:r>
    </w:p>
    <w:p>
      <w:pPr>
        <w:spacing w:after="80" w:before="80" w:line="280"/>
        <w:jc w:val="left"/>
      </w:pPr>
      <w:r>
        <w:rPr>
          <w:rFonts w:ascii="Calibri" w:cs="Calibri" w:eastAsia="Calibri" w:hAnsi="Calibri"/>
          <w:b/>
          <w:bCs/>
          <w:color w:val="1A1A1A"/>
          <w:sz w:val="22"/>
          <w:szCs w:val="22"/>
        </w:rPr>
        <w:t xml:space="preserve">Mitigant: </w:t>
      </w:r>
      <w:r>
        <w:rPr>
          <w:rFonts w:ascii="Calibri" w:cs="Calibri" w:eastAsia="Calibri" w:hAnsi="Calibri"/>
          <w:color w:val="1A1A1A"/>
          <w:sz w:val="22"/>
          <w:szCs w:val="22"/>
        </w:rPr>
        <w:t xml:space="preserve">META's Conversions API and on-device signal processing demonstrate active adaptation to privacy restrictions. META previously absorbed the iOS 14.5 impact (which caused the 2022 decline) and re-accelerated. The regulatory timeline for material European advertising restrictions is likely 2-4 years minimum given legislative process. This is a monitoring risk, not an immediate impairment. Monitor: EU DSA enforcement calendar and EU court decisions on behavioural targeting.</w:t>
      </w:r>
    </w:p>
    <w:p>
      <w:pPr>
        <w:spacing w:after="100" w:before="100"/>
      </w:pPr>
      <w:r>
        <w:t xml:space="preserve"/>
      </w:r>
    </w:p>
    <w:p>
      <w:pPr>
        <w:pStyle w:val="Heading2"/>
        <w:pBdr>
          <w:bottom w:val="single" w:color="2E5F8A" w:sz="4" w:space="2"/>
        </w:pBdr>
        <w:spacing w:after="100" w:before="220"/>
      </w:pPr>
      <w:r>
        <w:rPr>
          <w:rFonts w:ascii="Calibri" w:cs="Calibri" w:eastAsia="Calibri" w:hAnsi="Calibri"/>
          <w:b/>
          <w:bCs/>
          <w:color w:val="1B3A5C"/>
          <w:sz w:val="24"/>
          <w:szCs w:val="24"/>
        </w:rPr>
        <w:t xml:space="preserve">Risk 4: AI Competition — Disruption of Advertising Paradigm</w:t>
      </w:r>
    </w:p>
    <w:p>
      <w:pPr>
        <w:spacing w:after="80" w:before="80" w:line="280"/>
        <w:jc w:val="left"/>
      </w:pPr>
      <w:r>
        <w:rPr>
          <w:rFonts w:ascii="Calibri" w:cs="Calibri" w:eastAsia="Calibri" w:hAnsi="Calibri"/>
          <w:b/>
          <w:bCs/>
          <w:color w:val="8B1A1A"/>
          <w:sz w:val="22"/>
          <w:szCs w:val="22"/>
        </w:rPr>
        <w:t xml:space="preserve">Probability: ~15% meaningful impact over 5 years (Incrementum est.)  |  Severity: Medium-High  |  Time horizon: 2027-2030+</w:t>
      </w:r>
    </w:p>
    <w:p>
      <w:pPr>
        <w:spacing w:after="40" w:before="40"/>
      </w:pPr>
      <w:r>
        <w:t xml:space="preserve"/>
      </w:r>
    </w:p>
    <w:p>
      <w:pPr>
        <w:spacing w:after="80" w:before="80" w:line="280"/>
        <w:jc w:val="left"/>
      </w:pPr>
      <w:r>
        <w:rPr>
          <w:rFonts w:ascii="Calibri" w:cs="Calibri" w:eastAsia="Calibri" w:hAnsi="Calibri"/>
          <w:b w:val="false"/>
          <w:bCs w:val="false"/>
          <w:i w:val="false"/>
          <w:iCs w:val="false"/>
          <w:color w:val="1A1A1A"/>
          <w:sz w:val="22"/>
          <w:szCs w:val="22"/>
        </w:rPr>
        <w:t xml:space="preserve">Risk description: If AI-driven search and recommendation systems (Google AI Overview, ChatGPT search, Perplexity) disintermediate social media as the primary product discovery channel, META's advertising inventory could decline in value. The specific risk: users shift product discovery from Instagram Explore to AI assistants → advertising impressions on META become less valuable → CPM declines → pricing power erodes.</w:t>
      </w:r>
    </w:p>
    <w:p>
      <w:pPr>
        <w:spacing w:after="40" w:before="40"/>
      </w:pPr>
      <w:r>
        <w:t xml:space="preserve"/>
      </w:r>
    </w:p>
    <w:p>
      <w:pPr>
        <w:spacing w:after="80" w:before="80" w:line="280"/>
        <w:jc w:val="left"/>
      </w:pPr>
      <w:r>
        <w:rPr>
          <w:rFonts w:ascii="Calibri" w:cs="Calibri" w:eastAsia="Calibri" w:hAnsi="Calibri"/>
          <w:b/>
          <w:bCs/>
          <w:color w:val="1A1A1A"/>
          <w:sz w:val="22"/>
          <w:szCs w:val="22"/>
        </w:rPr>
        <w:t xml:space="preserve">Mitigant: </w:t>
      </w:r>
      <w:r>
        <w:rPr>
          <w:rFonts w:ascii="Calibri" w:cs="Calibri" w:eastAsia="Calibri" w:hAnsi="Calibri"/>
          <w:color w:val="1A1A1A"/>
          <w:sz w:val="22"/>
          <w:szCs w:val="22"/>
        </w:rPr>
        <w:t xml:space="preserve">META is building its own AI overlay (Meta AI, 2bn monthly active users claimed [IR — management guidance]). More importantly, Instagram and WhatsApp operate in a different mode than search — they drive impulse purchases and brand awareness for products users did not search for. This is not easily replicated by AI search tools. The risk is longer-term and speculative at this stage — but warrants monitoring as AI assistant adoption data becomes available.</w:t>
      </w:r>
    </w:p>
    <w:p>
      <w:pPr>
        <w:pStyle w:val="Heading1"/>
        <w:pageBreakBefore/>
        <w:shd w:fill="1B3A5C" w:val="clear"/>
        <w:spacing w:after="160" w:before="300"/>
      </w:pPr>
      <w:r>
        <w:rPr>
          <w:rFonts w:ascii="Calibri" w:cs="Calibri" w:eastAsia="Calibri" w:hAnsi="Calibri"/>
          <w:b/>
          <w:bCs/>
          <w:color w:val="FFFFFF"/>
          <w:sz w:val="30"/>
          <w:szCs w:val="30"/>
        </w:rPr>
        <w:t xml:space="preserve">10. KEY QUESTIONS — TESTABLE HYPOTHESES</w:t>
      </w:r>
    </w:p>
    <w:p>
      <w:pPr>
        <w:spacing w:after="80" w:before="80" w:line="280"/>
        <w:jc w:val="left"/>
      </w:pPr>
      <w:r>
        <w:rPr>
          <w:rFonts w:ascii="Calibri" w:cs="Calibri" w:eastAsia="Calibri" w:hAnsi="Calibri"/>
          <w:b w:val="false"/>
          <w:bCs w:val="false"/>
          <w:i w:val="false"/>
          <w:iCs w:val="false"/>
          <w:color w:val="1A1A1A"/>
          <w:sz w:val="22"/>
          <w:szCs w:val="22"/>
        </w:rPr>
        <w:t xml:space="preserve">These are not rhetorical questions. Each is a falsifiable hypothesis that, if confirmed or denied, materially shifts scenario weighting. Track each catalyst window.</w:t>
      </w:r>
    </w:p>
    <w:p>
      <w:pPr>
        <w:spacing w:after="80" w:before="80"/>
      </w:pPr>
      <w:r>
        <w:t xml:space="preserve"/>
      </w: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360"/>
        <w:gridCol w:w="2000"/>
        <w:gridCol w:w="2000"/>
        <w:gridCol w:w="2000"/>
        <w:gridCol w:w="1400"/>
      </w:tblGrid>
      <w:tr>
        <w:trPr>
          <w:tblHeader/>
        </w:trPr>
        <w:tc>
          <w:tcPr>
            <w:tcW w:type="dxa" w:w="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FFFFFF"/>
                <w:sz w:val="20"/>
                <w:szCs w:val="20"/>
              </w:rPr>
              <w:t xml:space="preserve">Hypothesis</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FFFFFF"/>
                <w:sz w:val="20"/>
                <w:szCs w:val="20"/>
              </w:rPr>
              <w:t xml:space="preserve">If Confirmed →</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FFFFFF"/>
                <w:sz w:val="20"/>
                <w:szCs w:val="20"/>
              </w:rPr>
              <w:t xml:space="preserve">If Denied →</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FFFFFF"/>
                <w:sz w:val="20"/>
                <w:szCs w:val="20"/>
              </w:rPr>
              <w:t xml:space="preserve">Observable By</w:t>
            </w:r>
          </w:p>
        </w:tc>
      </w:tr>
      <w:tr>
        <w:trPr>
          <w:tblHeader w:val="false"/>
        </w:trPr>
        <w:tc>
          <w:tcPr>
            <w:tcW w:type="dxa" w:w="36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1</w:t>
            </w:r>
          </w:p>
        </w:tc>
        <w:tc>
          <w:tcPr>
            <w:tcW w:type="dxa" w:w="20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2Q26 revenue ≥US$60bn</w:t>
            </w:r>
          </w:p>
        </w:tc>
        <w:tc>
          <w:tcPr>
            <w:tcW w:type="dxa" w:w="20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CAPEX not impacting growth; weights base/bull; supports adding &gt;10.6% NAV</w:t>
            </w:r>
          </w:p>
        </w:tc>
        <w:tc>
          <w:tcPr>
            <w:tcW w:type="dxa" w:w="20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Initial concern; reevaluate CAPEX efficiency; do not add</w:t>
            </w:r>
          </w:p>
        </w:tc>
        <w:tc>
          <w:tcPr>
            <w:tcW w:type="dxa" w:w="14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2026-07-29 [IR earnings]</w:t>
            </w:r>
          </w:p>
        </w:tc>
      </w:tr>
      <w:tr>
        <w:trPr>
          <w:tblHeader w:val="false"/>
        </w:trP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2026 CAPEX guidance stays US$125-145bn (not raised in 2Q26 call)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FCF trough is known and bounded; management disciplined; thesis intact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Incremental D&amp;A pressure; D&amp;A trap probability rises; thesis requires revision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2026-07-29 [IR guidance]</w:t>
            </w:r>
          </w:p>
        </w:tc>
      </w:tr>
      <w:tr>
        <w:trPr>
          <w:tblHeader w:val="false"/>
        </w:trPr>
        <w:tc>
          <w:tcPr>
            <w:tcW w:type="dxa" w:w="36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3</w:t>
            </w:r>
          </w:p>
        </w:tc>
        <w:tc>
          <w:tcPr>
            <w:tcW w:type="dxa" w:w="20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META signals 2027E CAPEX stabilisation/decline vs. 2026 levels</w:t>
            </w:r>
          </w:p>
        </w:tc>
        <w:tc>
          <w:tcPr>
            <w:tcW w:type="dxa" w:w="20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Single most important multiple re-rating trigger; P/E moves toward 22-24x</w:t>
            </w:r>
          </w:p>
        </w:tc>
        <w:tc>
          <w:tcPr>
            <w:tcW w:type="dxa" w:w="20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CAPEX cycle extends; FCF normalisation delayed; add only if conviction &gt;80%</w:t>
            </w:r>
          </w:p>
        </w:tc>
        <w:tc>
          <w:tcPr>
            <w:tcW w:type="dxa" w:w="14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2026-10-29 est. [IR 3Q26 call]</w:t>
            </w:r>
          </w:p>
        </w:tc>
      </w:tr>
      <w:tr>
        <w:trPr>
          <w:tblHeader w:val="false"/>
        </w:trP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Advantage+ ARPU growth continues outpacing DAP user growth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Pricing power intact; Advantage+ still on the improvement curve; not plateauing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Diminishing returns signal; bear case probability rises meaningfully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Quarterly [IR — ARPU data]</w:t>
            </w:r>
          </w:p>
        </w:tc>
      </w:tr>
      <w:tr>
        <w:trPr>
          <w:tblHeader w:val="false"/>
        </w:trPr>
        <w:tc>
          <w:tcPr>
            <w:tcW w:type="dxa" w:w="36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5</w:t>
            </w:r>
          </w:p>
        </w:tc>
        <w:tc>
          <w:tcPr>
            <w:tcW w:type="dxa" w:w="20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Meta AI reaches 3bn MAU by 2026 year-end</w:t>
            </w:r>
          </w:p>
        </w:tc>
        <w:tc>
          <w:tcPr>
            <w:tcW w:type="dxa" w:w="20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AI optionality becomes visible; potential monetisation path (subscriptions, API) credible</w:t>
            </w:r>
          </w:p>
        </w:tc>
        <w:tc>
          <w:tcPr>
            <w:tcW w:type="dxa" w:w="20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AI overlay not gaining traction; optionality reduced but advertising thesis unchanged</w:t>
            </w:r>
          </w:p>
        </w:tc>
        <w:tc>
          <w:tcPr>
            <w:tcW w:type="dxa" w:w="14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2026-10-29 est. [IR / management commentary]</w:t>
            </w:r>
          </w:p>
        </w:tc>
      </w:tr>
      <w:tr>
        <w:trPr>
          <w:tblHeader w:val="false"/>
        </w:trP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No material EU DSA enforcement restricting behavioural targeting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Regulatory tail risk stays latent; Europe revenue intact; status quo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Tail risk materialises; immediate European revenue impairment; reassess position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Ongoing [European regulatory calendar]</w:t>
            </w:r>
          </w:p>
        </w:tc>
      </w:tr>
    </w:tbl>
    <w:p>
      <w:pPr>
        <w:spacing w:after="120" w:before="40"/>
      </w:pPr>
      <w:r>
        <w:rPr>
          <w:rFonts w:ascii="Calibri" w:cs="Calibri" w:eastAsia="Calibri" w:hAnsi="Calibri"/>
          <w:i/>
          <w:iCs/>
          <w:color w:val="666666"/>
          <w:sz w:val="18"/>
          <w:szCs w:val="18"/>
        </w:rPr>
        <w:t xml:space="preserve">Source: Incrementum est. All dates are estimates based on META's historical earnings calendar. Confirm via [IR] investor relations calendar.</w:t>
      </w:r>
    </w:p>
    <w:p>
      <w:pPr>
        <w:pStyle w:val="Heading1"/>
        <w:pageBreakBefore/>
        <w:shd w:fill="1B3A5C" w:val="clear"/>
        <w:spacing w:after="160" w:before="300"/>
      </w:pPr>
      <w:r>
        <w:rPr>
          <w:rFonts w:ascii="Calibri" w:cs="Calibri" w:eastAsia="Calibri" w:hAnsi="Calibri"/>
          <w:b/>
          <w:bCs/>
          <w:color w:val="FFFFFF"/>
          <w:sz w:val="30"/>
          <w:szCs w:val="30"/>
        </w:rPr>
        <w:t xml:space="preserve">11. APPENDIX</w:t>
      </w:r>
    </w:p>
    <w:p>
      <w:pPr>
        <w:pStyle w:val="Heading2"/>
        <w:pBdr>
          <w:bottom w:val="single" w:color="2E5F8A" w:sz="4" w:space="2"/>
        </w:pBdr>
        <w:spacing w:after="100" w:before="220"/>
      </w:pPr>
      <w:r>
        <w:rPr>
          <w:rFonts w:ascii="Calibri" w:cs="Calibri" w:eastAsia="Calibri" w:hAnsi="Calibri"/>
          <w:b/>
          <w:bCs/>
          <w:color w:val="1B3A5C"/>
          <w:sz w:val="24"/>
          <w:szCs w:val="24"/>
        </w:rPr>
        <w:t xml:space="preserve">11.1  Key Data Sources</w:t>
      </w:r>
    </w:p>
    <w:p>
      <w:pPr>
        <w:spacing w:after="40" w:before="40"/>
      </w:pPr>
      <w:r>
        <w:t xml:space="preserve"/>
      </w:r>
    </w:p>
    <w:p>
      <w:pPr>
        <w:pStyle w:val="ListParagraph"/>
        <w:numPr>
          <w:ilvl w:val="0"/>
          <w:numId w:val="2"/>
        </w:numPr>
        <w:spacing w:after="60" w:before="60" w:line="280"/>
      </w:pPr>
      <w:r>
        <w:rPr>
          <w:rFonts w:ascii="Calibri" w:cs="Calibri" w:eastAsia="Calibri" w:hAnsi="Calibri"/>
          <w:color w:val="1A1A1A"/>
          <w:sz w:val="22"/>
          <w:szCs w:val="22"/>
        </w:rPr>
        <w:t xml:space="preserve">META Platforms 10-K FY2025 (filed approximately 2026-01-31) — full year financials [IR]</w:t>
      </w:r>
    </w:p>
    <w:p>
      <w:pPr>
        <w:pStyle w:val="ListParagraph"/>
        <w:numPr>
          <w:ilvl w:val="0"/>
          <w:numId w:val="2"/>
        </w:numPr>
        <w:spacing w:after="60" w:before="60" w:line="280"/>
      </w:pPr>
      <w:r>
        <w:rPr>
          <w:rFonts w:ascii="Calibri" w:cs="Calibri" w:eastAsia="Calibri" w:hAnsi="Calibri"/>
          <w:color w:val="1A1A1A"/>
          <w:sz w:val="22"/>
          <w:szCs w:val="22"/>
        </w:rPr>
        <w:t xml:space="preserve">META Platforms 10-Q 1Q26 (filed approximately 2026-05-xx) — quarterly financials and CAPEX guidance [IR]</w:t>
      </w:r>
    </w:p>
    <w:p>
      <w:pPr>
        <w:pStyle w:val="ListParagraph"/>
        <w:numPr>
          <w:ilvl w:val="0"/>
          <w:numId w:val="2"/>
        </w:numPr>
        <w:spacing w:after="60" w:before="60" w:line="280"/>
      </w:pPr>
      <w:r>
        <w:rPr>
          <w:rFonts w:ascii="Calibri" w:cs="Calibri" w:eastAsia="Calibri" w:hAnsi="Calibri"/>
          <w:color w:val="1A1A1A"/>
          <w:sz w:val="22"/>
          <w:szCs w:val="22"/>
        </w:rPr>
        <w:t xml:space="preserve">META Platforms 8-K Earnings Release 1Q26 (filed 2026-04-30) — revenue, EPS, guidance [IR]</w:t>
      </w:r>
    </w:p>
    <w:p>
      <w:pPr>
        <w:pStyle w:val="ListParagraph"/>
        <w:numPr>
          <w:ilvl w:val="0"/>
          <w:numId w:val="2"/>
        </w:numPr>
        <w:spacing w:after="60" w:before="60" w:line="280"/>
      </w:pPr>
      <w:r>
        <w:rPr>
          <w:rFonts w:ascii="Calibri" w:cs="Calibri" w:eastAsia="Calibri" w:hAnsi="Calibri"/>
          <w:color w:val="1A1A1A"/>
          <w:sz w:val="22"/>
          <w:szCs w:val="22"/>
        </w:rPr>
        <w:t xml:space="preserve">CompoundingLab DCF model — fair value US$774 [WEB-SCREEN — CompoundingLab, 2026-05-03]</w:t>
      </w:r>
    </w:p>
    <w:p>
      <w:pPr>
        <w:pStyle w:val="ListParagraph"/>
        <w:numPr>
          <w:ilvl w:val="0"/>
          <w:numId w:val="2"/>
        </w:numPr>
        <w:spacing w:after="60" w:before="60" w:line="280"/>
      </w:pPr>
      <w:r>
        <w:rPr>
          <w:rFonts w:ascii="Calibri" w:cs="Calibri" w:eastAsia="Calibri" w:hAnsi="Calibri"/>
          <w:color w:val="1A1A1A"/>
          <w:sz w:val="22"/>
          <w:szCs w:val="22"/>
        </w:rPr>
        <w:t xml:space="preserve">P/E comps table — [WEB-SCREEN — StockAnalysis/CompaniesMarketCap, approximately 2026-05-01]</w:t>
      </w:r>
    </w:p>
    <w:p>
      <w:pPr>
        <w:pStyle w:val="ListParagraph"/>
        <w:numPr>
          <w:ilvl w:val="0"/>
          <w:numId w:val="2"/>
        </w:numPr>
        <w:spacing w:after="60" w:before="60" w:line="280"/>
      </w:pPr>
      <w:r>
        <w:rPr>
          <w:rFonts w:ascii="Calibri" w:cs="Calibri" w:eastAsia="Calibri" w:hAnsi="Calibri"/>
          <w:color w:val="1A1A1A"/>
          <w:sz w:val="22"/>
          <w:szCs w:val="22"/>
        </w:rPr>
        <w:t xml:space="preserve">US 10yr Treasury yield (~4.40%) — [WEB-SCREEN — approximately 2026-05-01]</w:t>
      </w:r>
    </w:p>
    <w:p>
      <w:pPr>
        <w:pStyle w:val="ListParagraph"/>
        <w:numPr>
          <w:ilvl w:val="0"/>
          <w:numId w:val="2"/>
        </w:numPr>
        <w:spacing w:after="60" w:before="60" w:line="280"/>
      </w:pPr>
      <w:r>
        <w:rPr>
          <w:rFonts w:ascii="Calibri" w:cs="Calibri" w:eastAsia="Calibri" w:hAnsi="Calibri"/>
          <w:color w:val="1A1A1A"/>
          <w:sz w:val="22"/>
          <w:szCs w:val="22"/>
        </w:rPr>
        <w:t xml:space="preserve">ERP (Damodaran, ~5.50%) — [WEB-SCREEN — damodaran.com, 2026 estimate]</w:t>
      </w:r>
    </w:p>
    <w:p>
      <w:pPr>
        <w:pStyle w:val="ListParagraph"/>
        <w:numPr>
          <w:ilvl w:val="0"/>
          <w:numId w:val="2"/>
        </w:numPr>
        <w:spacing w:after="60" w:before="60" w:line="280"/>
      </w:pPr>
      <w:r>
        <w:rPr>
          <w:rFonts w:ascii="Calibri" w:cs="Calibri" w:eastAsia="Calibri" w:hAnsi="Calibri"/>
          <w:color w:val="1A1A1A"/>
          <w:sz w:val="22"/>
          <w:szCs w:val="22"/>
        </w:rPr>
        <w:t xml:space="preserve">META beta (~1.15, 5yr monthly) — [WEB-SCREEN — approximate; verify Bloomberg]</w:t>
      </w:r>
    </w:p>
    <w:p>
      <w:pPr>
        <w:pStyle w:val="ListParagraph"/>
        <w:numPr>
          <w:ilvl w:val="0"/>
          <w:numId w:val="2"/>
        </w:numPr>
        <w:spacing w:after="60" w:before="60" w:line="280"/>
      </w:pPr>
      <w:r>
        <w:rPr>
          <w:rFonts w:ascii="Calibri" w:cs="Calibri" w:eastAsia="Calibri" w:hAnsi="Calibri"/>
          <w:color w:val="1A1A1A"/>
          <w:sz w:val="22"/>
          <w:szCs w:val="22"/>
        </w:rPr>
        <w:t xml:space="preserve">Options premiums — from META_Opcoes_Estruturas_Bullish.docx (Eduardo's file), Dec 2026 expiry, stock ~US$610-612. [req. live verification via IBKR TWS before any execution]</w:t>
      </w:r>
    </w:p>
    <w:p>
      <w:pPr>
        <w:spacing w:after="40" w:before="40"/>
      </w:pPr>
      <w:r>
        <w:t xml:space="preserve"/>
      </w:r>
    </w:p>
    <w:p>
      <w:pPr>
        <w:spacing w:after="80" w:before="80" w:line="280"/>
        <w:jc w:val="left"/>
      </w:pPr>
      <w:r>
        <w:rPr>
          <w:rFonts w:ascii="Calibri" w:cs="Calibri" w:eastAsia="Calibri" w:hAnsi="Calibri"/>
          <w:b/>
          <w:bCs/>
          <w:color w:val="1A1A1A"/>
          <w:sz w:val="22"/>
          <w:szCs w:val="22"/>
        </w:rPr>
        <w:t xml:space="preserve">Sources explicitly excluded per IncrementumOS governance (CLAUDE.md): </w:t>
      </w:r>
      <w:r>
        <w:rPr>
          <w:rFonts w:ascii="Calibri" w:cs="Calibri" w:eastAsia="Calibri" w:hAnsi="Calibri"/>
          <w:color w:val="1A1A1A"/>
          <w:sz w:val="22"/>
          <w:szCs w:val="22"/>
        </w:rPr>
        <w:t xml:space="preserve">Robinhood — not cited. StockTitan — not cited. Investing.com — not cited.</w:t>
      </w:r>
    </w:p>
    <w:p>
      <w:pPr>
        <w:spacing w:after="100" w:before="100"/>
      </w:pPr>
      <w:r>
        <w:t xml:space="preserve"/>
      </w:r>
    </w:p>
    <w:p>
      <w:pPr>
        <w:pStyle w:val="Heading2"/>
        <w:pBdr>
          <w:bottom w:val="single" w:color="2E5F8A" w:sz="4" w:space="2"/>
        </w:pBdr>
        <w:spacing w:after="100" w:before="220"/>
      </w:pPr>
      <w:r>
        <w:rPr>
          <w:rFonts w:ascii="Calibri" w:cs="Calibri" w:eastAsia="Calibri" w:hAnsi="Calibri"/>
          <w:b/>
          <w:bCs/>
          <w:color w:val="1B3A5C"/>
          <w:sz w:val="24"/>
          <w:szCs w:val="24"/>
        </w:rPr>
        <w:t xml:space="preserve">11.2  Portfolio Context</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760"/>
      </w:tblGrid>
      <w:tr>
        <w:trPr>
          <w:tblHeader/>
        </w:trPr>
        <w:tc>
          <w:tcPr>
            <w:tcW w:type="dxa" w:w="24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FFFFFF"/>
                <w:sz w:val="20"/>
                <w:szCs w:val="20"/>
              </w:rPr>
              <w:t xml:space="preserve">Parameter</w:t>
            </w:r>
          </w:p>
        </w:tc>
        <w:tc>
          <w:tcPr>
            <w:tcW w:type="dxa" w:w="24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FFFFFF"/>
                <w:sz w:val="20"/>
                <w:szCs w:val="20"/>
              </w:rPr>
              <w:t xml:space="preserve">Value</w:t>
            </w:r>
          </w:p>
        </w:tc>
        <w:tc>
          <w:tcPr>
            <w:tcW w:type="dxa" w:w="476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FFFFFF"/>
                <w:sz w:val="20"/>
                <w:szCs w:val="20"/>
              </w:rPr>
              <w:t xml:space="preserve">Source</w:t>
            </w:r>
          </w:p>
        </w:tc>
      </w:tr>
      <w:tr>
        <w:trPr>
          <w:tblHeader w:val="false"/>
        </w:trPr>
        <w:tc>
          <w:tcPr>
            <w:tcW w:type="dxa" w:w="24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NAV (2026-05-01)</w:t>
            </w:r>
          </w:p>
        </w:tc>
        <w:tc>
          <w:tcPr>
            <w:tcW w:type="dxa" w:w="24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US$45,886</w:t>
            </w:r>
          </w:p>
        </w:tc>
        <w:tc>
          <w:tcPr>
            <w:tcW w:type="dxa" w:w="476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[state.md 2026-05-01]</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META position — shares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8 shares equity @ ~US$609</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[state.md 2026-05-01]</w:t>
            </w:r>
          </w:p>
        </w:tc>
      </w:tr>
      <w:tr>
        <w:trPr>
          <w:tblHeader w:val="false"/>
        </w:trPr>
        <w:tc>
          <w:tcPr>
            <w:tcW w:type="dxa" w:w="24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META market value</w:t>
            </w:r>
          </w:p>
        </w:tc>
        <w:tc>
          <w:tcPr>
            <w:tcW w:type="dxa" w:w="24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~US$4,872</w:t>
            </w:r>
          </w:p>
        </w:tc>
        <w:tc>
          <w:tcPr>
            <w:tcW w:type="dxa" w:w="476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[state.md]</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META % NAV</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~10.6%</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[state.md]</w:t>
            </w:r>
          </w:p>
        </w:tc>
      </w:tr>
      <w:tr>
        <w:trPr>
          <w:tblHeader w:val="false"/>
        </w:trPr>
        <w:tc>
          <w:tcPr>
            <w:tcW w:type="dxa" w:w="24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Portfolio cash</w:t>
            </w:r>
          </w:p>
        </w:tc>
        <w:tc>
          <w:tcPr>
            <w:tcW w:type="dxa" w:w="24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US$13,631 (29.7% NAV)</w:t>
            </w:r>
          </w:p>
        </w:tc>
        <w:tc>
          <w:tcPr>
            <w:tcW w:type="dxa" w:w="476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[state.md] — capacity for addition or options overlay</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IncrementumOS layer mapping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Layer 5 — Applications (AI stack)</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[wiki/macro/ai-infrastructure-buildout.md, 2026-05-02]</w:t>
            </w:r>
          </w:p>
        </w:tc>
      </w:tr>
    </w:tbl>
    <w:p>
      <w:pPr>
        <w:spacing w:after="100" w:before="100"/>
      </w:pPr>
      <w:r>
        <w:t xml:space="preserve"/>
      </w:r>
    </w:p>
    <w:p>
      <w:pPr>
        <w:pStyle w:val="Heading2"/>
        <w:pBdr>
          <w:bottom w:val="single" w:color="2E5F8A" w:sz="4" w:space="2"/>
        </w:pBdr>
        <w:spacing w:after="100" w:before="220"/>
      </w:pPr>
      <w:r>
        <w:rPr>
          <w:rFonts w:ascii="Calibri" w:cs="Calibri" w:eastAsia="Calibri" w:hAnsi="Calibri"/>
          <w:b/>
          <w:bCs/>
          <w:color w:val="1B3A5C"/>
          <w:sz w:val="24"/>
          <w:szCs w:val="24"/>
        </w:rPr>
        <w:t xml:space="preserve">11.3  Definitions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FFFFFF"/>
                <w:sz w:val="20"/>
                <w:szCs w:val="20"/>
              </w:rPr>
              <w:t xml:space="preserve">Term</w:t>
            </w:r>
          </w:p>
        </w:tc>
        <w:tc>
          <w:tcPr>
            <w:tcW w:type="dxa" w:w="756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FFFFFF"/>
                <w:sz w:val="20"/>
                <w:szCs w:val="20"/>
              </w:rPr>
              <w:t xml:space="preserve">Definition</w:t>
            </w:r>
          </w:p>
        </w:tc>
      </w:tr>
      <w:tr>
        <w:trPr>
          <w:tblHeader w:val="false"/>
        </w:trPr>
        <w:tc>
          <w:tcPr>
            <w:tcW w:type="dxa" w:w="1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FCF</w:t>
            </w:r>
          </w:p>
        </w:tc>
        <w:tc>
          <w:tcPr>
            <w:tcW w:type="dxa" w:w="756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Free Cash Flow = Operating Cash Flow minus Capital Expenditures</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FCF less SBC</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FCF minus Stock-Based Compensation (cash-like dilution to existing holders)</w:t>
            </w:r>
          </w:p>
        </w:tc>
      </w:tr>
      <w:tr>
        <w:trPr>
          <w:tblHeader w:val="false"/>
        </w:trPr>
        <w:tc>
          <w:tcPr>
            <w:tcW w:type="dxa" w:w="1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D&amp;A</w:t>
            </w:r>
          </w:p>
        </w:tc>
        <w:tc>
          <w:tcPr>
            <w:tcW w:type="dxa" w:w="756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Depreciation and Amortisation</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EBIT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Earnings Before Interest and Taxes</w:t>
            </w:r>
          </w:p>
        </w:tc>
      </w:tr>
      <w:tr>
        <w:trPr>
          <w:tblHeader w:val="false"/>
        </w:trPr>
        <w:tc>
          <w:tcPr>
            <w:tcW w:type="dxa" w:w="1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EBITDA</w:t>
            </w:r>
          </w:p>
        </w:tc>
        <w:tc>
          <w:tcPr>
            <w:tcW w:type="dxa" w:w="756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Earnings Before Interest, Taxes, Depreciation and Amortisation</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OpEx ex-D&amp;A</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Operating Expenses excluding Depreciation and Amortisation (proxy for cash costs)</w:t>
            </w:r>
          </w:p>
        </w:tc>
      </w:tr>
      <w:tr>
        <w:trPr>
          <w:tblHeader w:val="false"/>
        </w:trPr>
        <w:tc>
          <w:tcPr>
            <w:tcW w:type="dxa" w:w="1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WACC</w:t>
            </w:r>
          </w:p>
        </w:tc>
        <w:tc>
          <w:tcPr>
            <w:tcW w:type="dxa" w:w="756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Weighted Average Cost of Capital</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CAPEX</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Capital Expenditure</w:t>
            </w:r>
          </w:p>
        </w:tc>
      </w:tr>
      <w:tr>
        <w:trPr>
          <w:tblHeader w:val="false"/>
        </w:trPr>
        <w:tc>
          <w:tcPr>
            <w:tcW w:type="dxa" w:w="1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SBC</w:t>
            </w:r>
          </w:p>
        </w:tc>
        <w:tc>
          <w:tcPr>
            <w:tcW w:type="dxa" w:w="756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Stock-Based Compensation</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P/E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Price-to-Earnings ratio (price divided by earnings per share)</w:t>
            </w:r>
          </w:p>
        </w:tc>
      </w:tr>
      <w:tr>
        <w:trPr>
          <w:tblHeader w:val="false"/>
        </w:trPr>
        <w:tc>
          <w:tcPr>
            <w:tcW w:type="dxa" w:w="1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EPS</w:t>
            </w:r>
          </w:p>
        </w:tc>
        <w:tc>
          <w:tcPr>
            <w:tcW w:type="dxa" w:w="756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Earnings Per Share (net income divided by diluted shares outstanding)</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IRR</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Internal Rate of Return</w:t>
            </w:r>
          </w:p>
        </w:tc>
      </w:tr>
      <w:tr>
        <w:trPr>
          <w:tblHeader w:val="false"/>
        </w:trPr>
        <w:tc>
          <w:tcPr>
            <w:tcW w:type="dxa" w:w="1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OCF</w:t>
            </w:r>
          </w:p>
        </w:tc>
        <w:tc>
          <w:tcPr>
            <w:tcW w:type="dxa" w:w="756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Operating Cash Flow</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MTIA</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Meta Training and Inference Accelerator (META's custom AI chip)</w:t>
            </w:r>
          </w:p>
        </w:tc>
      </w:tr>
      <w:tr>
        <w:trPr>
          <w:tblHeader w:val="false"/>
        </w:trPr>
        <w:tc>
          <w:tcPr>
            <w:tcW w:type="dxa" w:w="1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DSA</w:t>
            </w:r>
          </w:p>
        </w:tc>
        <w:tc>
          <w:tcPr>
            <w:tcW w:type="dxa" w:w="756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Digital Services Act (EU regulation)</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GDPR</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General Data Protection Regulation (EU)</w:t>
            </w:r>
          </w:p>
        </w:tc>
      </w:tr>
      <w:tr>
        <w:trPr>
          <w:tblHeader w:val="false"/>
        </w:trPr>
        <w:tc>
          <w:tcPr>
            <w:tcW w:type="dxa" w:w="1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MAU</w:t>
            </w:r>
          </w:p>
        </w:tc>
        <w:tc>
          <w:tcPr>
            <w:tcW w:type="dxa" w:w="756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Monthly Active Users</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DAP</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Daily Active People (META's cross-family metric, includes all apps)</w:t>
            </w:r>
          </w:p>
        </w:tc>
      </w:tr>
      <w:tr>
        <w:trPr>
          <w:tblHeader w:val="false"/>
        </w:trPr>
        <w:tc>
          <w:tcPr>
            <w:tcW w:type="dxa" w:w="1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CPM</w:t>
            </w:r>
          </w:p>
        </w:tc>
        <w:tc>
          <w:tcPr>
            <w:tcW w:type="dxa" w:w="756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Cost Per Mille — cost per thousand advertising impressions</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ARPU</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Average Revenue Per User</w:t>
            </w:r>
          </w:p>
        </w:tc>
      </w:tr>
      <w:tr>
        <w:trPr>
          <w:tblHeader w:val="false"/>
        </w:trPr>
        <w:tc>
          <w:tcPr>
            <w:tcW w:type="dxa" w:w="1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NAV</w:t>
            </w:r>
          </w:p>
        </w:tc>
        <w:tc>
          <w:tcPr>
            <w:tcW w:type="dxa" w:w="756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Net Asset Value (Eduardo's portfolio value)</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FoA</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Family of Apps (Facebook, Instagram, WhatsApp, Messenger, Threads)</w:t>
            </w:r>
          </w:p>
        </w:tc>
      </w:tr>
      <w:tr>
        <w:trPr>
          <w:tblHeader w:val="false"/>
        </w:trPr>
        <w:tc>
          <w:tcPr>
            <w:tcW w:type="dxa" w:w="1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RL</w:t>
            </w:r>
          </w:p>
        </w:tc>
        <w:tc>
          <w:tcPr>
            <w:tcW w:type="dxa" w:w="756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Reality Labs (META's hardware/software moonshot division)</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ERP</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Equity Risk Premium</w:t>
            </w:r>
          </w:p>
        </w:tc>
      </w:tr>
      <w:tr>
        <w:trPr>
          <w:tblHeader w:val="false"/>
        </w:trPr>
        <w:tc>
          <w:tcPr>
            <w:tcW w:type="dxa" w:w="1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IR</w:t>
            </w:r>
          </w:p>
        </w:tc>
        <w:tc>
          <w:tcPr>
            <w:tcW w:type="dxa" w:w="756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Investor Relations / SEC filing</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WEB-SCREEN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1A1A1A"/>
                <w:sz w:val="20"/>
                <w:szCs w:val="20"/>
              </w:rPr>
              <w:t xml:space="preserve">Web screener data — requires verification before use in investment decisions</w:t>
            </w:r>
          </w:p>
        </w:tc>
      </w:tr>
    </w:tbl>
    <w:p>
      <w:pPr>
        <w:spacing w:after="100" w:before="100"/>
      </w:pPr>
      <w:r>
        <w:t xml:space="preserve"/>
      </w:r>
    </w:p>
    <w:p>
      <w:pPr>
        <w:pStyle w:val="Heading2"/>
        <w:pBdr>
          <w:bottom w:val="single" w:color="2E5F8A" w:sz="4" w:space="2"/>
        </w:pBdr>
        <w:spacing w:after="100" w:before="220"/>
      </w:pPr>
      <w:r>
        <w:rPr>
          <w:rFonts w:ascii="Calibri" w:cs="Calibri" w:eastAsia="Calibri" w:hAnsi="Calibri"/>
          <w:b/>
          <w:bCs/>
          <w:color w:val="1B3A5C"/>
          <w:sz w:val="24"/>
          <w:szCs w:val="24"/>
        </w:rPr>
        <w:t xml:space="preserve">11.4  Disclaimer</w:t>
      </w:r>
    </w:p>
    <w:p>
      <w:pPr>
        <w:spacing w:after="80" w:before="80" w:line="280"/>
        <w:jc w:val="left"/>
      </w:pPr>
      <w:r>
        <w:rPr>
          <w:rFonts w:ascii="Calibri" w:cs="Calibri" w:eastAsia="Calibri" w:hAnsi="Calibri"/>
          <w:b w:val="false"/>
          <w:bCs w:val="false"/>
          <w:i w:val="false"/>
          <w:iCs w:val="false"/>
          <w:color w:val="1A1A1A"/>
          <w:sz w:val="22"/>
          <w:szCs w:val="22"/>
        </w:rPr>
        <w:t xml:space="preserve">This memo is prepared for Eduardo Dias / Incrementum internal use only. It does not constitute investment advice for third parties. All projections labelled "Incrementum est." are analytical estimates based on public filings, management guidance, and the authors own assumptions — they are not guarantees of future performance. Options analysis is conceptual; all premiums require live verification via IBKR TWS before any execution. Past performance is not indicative of future results. Incrementum does not execute trades; all investment decisions are made solely by Eduardo Dias.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8A" w:sz="4" w:space="2"/>
      </w:pBdr>
      <w:spacing w:after="0" w:before="80"/>
      <w:jc w:val="center"/>
    </w:pPr>
    <w:r>
      <w:rPr>
        <w:rFonts w:ascii="Calibri" w:cs="Calibri" w:eastAsia="Calibri" w:hAnsi="Calibri"/>
        <w:color w:val="888888"/>
        <w:sz w:val="18"/>
        <w:szCs w:val="18"/>
      </w:rPr>
      <w:t xml:space="preserve">Incrementum — Internal Use Only | </w:t>
    </w:r>
    <w:r>
      <w:rPr>
        <w:rFonts w:ascii="Calibri" w:cs="Calibri" w:eastAsia="Calibri" w:hAnsi="Calibri"/>
        <w:color w:val="888888"/>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8A" w:sz="4" w:space="2"/>
      </w:pBdr>
      <w:tabs>
        <w:tab w:val="right" w:pos="9026"/>
      </w:tabs>
      <w:spacing w:after="80" w:before="0"/>
      <w:jc w:val="left"/>
    </w:pPr>
    <w:r>
      <w:rPr>
        <w:rFonts w:ascii="Calibri" w:cs="Calibri" w:eastAsia="Calibri" w:hAnsi="Calibri"/>
        <w:color w:val="2E5F8A"/>
        <w:sz w:val="18"/>
        <w:szCs w:val="18"/>
      </w:rPr>
      <w:t xml:space="preserve">META Platforms — Investment Memo v9  |  Incrementum  |  2026-05-04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hd w:fill="1B3A5C" w:val="clear"/>
      <w:spacing w:after="160" w:before="300"/>
      <w:outlineLvl w:val="0"/>
    </w:pPr>
    <w:rPr>
      <w:rFonts w:ascii="Calibri" w:cs="Calibri" w:eastAsia="Calibri" w:hAnsi="Calibri"/>
      <w:b/>
      <w:bCs/>
      <w:color w:val="FFFFFF"/>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1B3A5C"/>
      <w:sz w:val="24"/>
      <w:szCs w:val="24"/>
    </w:rPr>
  </w:style>
  <w:style w:type="paragraph" w:styleId="Heading3">
    <w:name w:val="Heading 3"/>
    <w:basedOn w:val="Normal"/>
    <w:next w:val="Normal"/>
    <w:qFormat/>
    <w:pPr>
      <w:spacing w:after="80" w:before="160"/>
      <w:outlineLvl w:val="2"/>
    </w:pPr>
    <w:rPr>
      <w:rFonts w:ascii="Calibri" w:cs="Calibri" w:eastAsia="Calibri" w:hAnsi="Calibri"/>
      <w:b/>
      <w:bCs/>
      <w:color w:val="2E5F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2026-05-04T21:07:05.250Z</dcterms:created>
  <dcterms:modified xsi:type="dcterms:W3CDTF">2026-05-04T21:07:05.251Z</dcterms:modified>
</cp:coreProperties>
</file>

<file path=docProps/custom.xml><?xml version="1.0" encoding="utf-8"?>
<Properties xmlns="http://schemas.openxmlformats.org/officeDocument/2006/custom-properties" xmlns:vt="http://schemas.openxmlformats.org/officeDocument/2006/docPropsVTypes"/>
</file>