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52"/>
        </w:rPr>
        <w:t>IndLokal — Grant Action Plan</w:t>
      </w:r>
    </w:p>
    <w:p>
      <w:pPr>
        <w:jc w:val="center"/>
      </w:pPr>
      <w:r>
        <w:rPr>
          <w:i/>
          <w:color w:val="555555"/>
          <w:sz w:val="24"/>
        </w:rPr>
        <w:t>What to do with the docs we have, in order</w:t>
      </w:r>
    </w:p>
    <w:p>
      <w:pPr>
        <w:jc w:val="center"/>
      </w:pPr>
      <w:r>
        <w:rPr>
          <w:color w:val="FF8C00"/>
          <w:sz w:val="26"/>
        </w:rPr>
        <w:t>— ★ —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E8E0"/>
          </w:tcPr>
          <w:p>
            <w:r>
              <w:rPr>
                <w:b/>
                <w:color w:val="0B3D91"/>
                <w:sz w:val="24"/>
              </w:rPr>
              <w:t>Status today (be honest with yourselves)</w:t>
              <w:br/>
            </w:r>
            <w:r>
              <w:rPr>
                <w:sz w:val="22"/>
              </w:rPr>
              <w:t>Platform built, in private beta. Soft public launch planned in ~4 weeks. No legal entity yet (still deciding between gUG, e.V., gGmbH). No external capital, no revenue. This sequence is built around that reality — not around pretending we are further along than we are.</w:t>
            </w:r>
          </w:p>
        </w:tc>
      </w:tr>
    </w:tbl>
    <w:p/>
    <w:p>
      <w:pPr>
        <w:pStyle w:val="Heading1"/>
      </w:pPr>
      <w:r>
        <w:t>Phase 0 — weeks 1–4: prerequisites (do BEFORE any funder ask)</w:t>
      </w:r>
    </w:p>
    <w:p>
      <w:r>
        <w:t>Without these three things, no foundation will write a cheque and no public funder will accept the application. Sequence them in parallel; they all complete in roughly the same window.</w:t>
      </w:r>
    </w:p>
    <w:p>
      <w:pPr>
        <w:pStyle w:val="Heading2"/>
      </w:pPr>
      <w:r>
        <w:t>P0.1 — Legal entity decision and registration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1949"/>
          </w:tcPr>
          <w:p>
            <w:r/>
            <w:r>
              <w:rPr>
                <w:b/>
                <w:color w:val="FFFFFF"/>
              </w:rPr>
              <w:t>Min. capital</w:t>
            </w:r>
          </w:p>
        </w:tc>
        <w:tc>
          <w:tcPr>
            <w:tcW w:type="dxa" w:w="1949"/>
          </w:tcPr>
          <w:p>
            <w:r/>
            <w:r>
              <w:rPr>
                <w:b/>
                <w:color w:val="FFFFFF"/>
              </w:rPr>
              <w:t>People</w:t>
            </w:r>
          </w:p>
        </w:tc>
        <w:tc>
          <w:tcPr>
            <w:tcW w:type="dxa" w:w="1949"/>
          </w:tcPr>
          <w:p>
            <w:r/>
            <w:r>
              <w:rPr>
                <w:b/>
                <w:color w:val="FFFFFF"/>
              </w:rPr>
              <w:t>Pros</w:t>
            </w:r>
          </w:p>
        </w:tc>
        <w:tc>
          <w:tcPr>
            <w:tcW w:type="dxa" w:w="1949"/>
          </w:tcPr>
          <w:p>
            <w:r/>
            <w:r>
              <w:rPr>
                <w:b/>
                <w:color w:val="FFFFFF"/>
              </w:rPr>
              <w:t>Cons</w:t>
            </w:r>
          </w:p>
        </w:tc>
      </w:tr>
      <w:tr>
        <w:tc>
          <w:tcPr>
            <w:tcW w:type="dxa" w:w="1949"/>
          </w:tcPr>
          <w:p>
            <w:r>
              <w:t>gUG (gemeinnützig)</w:t>
            </w:r>
          </w:p>
        </w:tc>
        <w:tc>
          <w:tcPr>
            <w:tcW w:type="dxa" w:w="1949"/>
          </w:tcPr>
          <w:p>
            <w:r>
              <w:t>€1</w:t>
            </w:r>
          </w:p>
        </w:tc>
        <w:tc>
          <w:tcPr>
            <w:tcW w:type="dxa" w:w="1949"/>
          </w:tcPr>
          <w:p>
            <w:r>
              <w:t>1–2 founders</w:t>
            </w:r>
          </w:p>
        </w:tc>
        <w:tc>
          <w:tcPr>
            <w:tcW w:type="dxa" w:w="1949"/>
          </w:tcPr>
          <w:p>
            <w:r>
              <w:t>Cheap, fast (~3–6 weeks), unlocks Google/Microsoft for Nonprofits, can convert to gGmbH later</w:t>
            </w:r>
          </w:p>
        </w:tc>
        <w:tc>
          <w:tcPr>
            <w:tcW w:type="dxa" w:w="1949"/>
          </w:tcPr>
          <w:p>
            <w:r>
              <w:t>Needs Steuerberater + Notar; Gemeinnützigkeit must be confirmed by Finanzamt</w:t>
            </w:r>
          </w:p>
        </w:tc>
      </w:tr>
      <w:tr>
        <w:tc>
          <w:tcPr>
            <w:tcW w:type="dxa" w:w="1949"/>
          </w:tcPr>
          <w:p>
            <w:r>
              <w:t>e.V.</w:t>
            </w:r>
          </w:p>
        </w:tc>
        <w:tc>
          <w:tcPr>
            <w:tcW w:type="dxa" w:w="1949"/>
          </w:tcPr>
          <w:p>
            <w:r>
              <w:t>€0</w:t>
            </w:r>
          </w:p>
        </w:tc>
        <w:tc>
          <w:tcPr>
            <w:tcW w:type="dxa" w:w="1949"/>
          </w:tcPr>
          <w:p>
            <w:r>
              <w:t>7 founding members min.</w:t>
            </w:r>
          </w:p>
        </w:tc>
        <w:tc>
          <w:tcPr>
            <w:tcW w:type="dxa" w:w="1949"/>
          </w:tcPr>
          <w:p>
            <w:r>
              <w:t>Free, classic civil-society form, strong with Land BW funders</w:t>
            </w:r>
          </w:p>
        </w:tc>
        <w:tc>
          <w:tcPr>
            <w:tcW w:type="dxa" w:w="1949"/>
          </w:tcPr>
          <w:p>
            <w:r>
              <w:t>7 members hard for a 2-founder team; less corporate-friendly</w:t>
            </w:r>
          </w:p>
        </w:tc>
      </w:tr>
      <w:tr>
        <w:tc>
          <w:tcPr>
            <w:tcW w:type="dxa" w:w="1949"/>
          </w:tcPr>
          <w:p>
            <w:r>
              <w:t>gGmbH</w:t>
            </w:r>
          </w:p>
        </w:tc>
        <w:tc>
          <w:tcPr>
            <w:tcW w:type="dxa" w:w="1949"/>
          </w:tcPr>
          <w:p>
            <w:r>
              <w:t>€25k</w:t>
            </w:r>
          </w:p>
        </w:tc>
        <w:tc>
          <w:tcPr>
            <w:tcW w:type="dxa" w:w="1949"/>
          </w:tcPr>
          <w:p>
            <w:r>
              <w:t>1–2 founders</w:t>
            </w:r>
          </w:p>
        </w:tc>
        <w:tc>
          <w:tcPr>
            <w:tcW w:type="dxa" w:w="1949"/>
          </w:tcPr>
          <w:p>
            <w:r>
              <w:t>Most credible, full liability cover, foundation-friendly</w:t>
            </w:r>
          </w:p>
        </w:tc>
        <w:tc>
          <w:tcPr>
            <w:tcW w:type="dxa" w:w="1949"/>
          </w:tcPr>
          <w:p>
            <w:r>
              <w:t>€25k tied capital; slower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DC"/>
          </w:tcPr>
          <w:p>
            <w:r>
              <w:rPr>
                <w:b/>
                <w:color w:val="0B3D91"/>
                <w:sz w:val="24"/>
              </w:rPr>
              <w:t>Recommended path</w:t>
              <w:br/>
            </w:r>
            <w:r>
              <w:rPr>
                <w:sz w:val="22"/>
              </w:rPr>
              <w:t>For a 2-founder pre-launch project: start as gemeinnützige UG (haftungsbeschränkt), convert to gGmbH later when capital and track record exist. Talk to a Steuerberater specialised in Gemeinnützigkeit this week. Realistic closing: 4–6 weeks.</w:t>
            </w:r>
          </w:p>
        </w:tc>
      </w:tr>
    </w:tbl>
    <w:p/>
    <w:p>
      <w:r>
        <w:rPr>
          <w:b/>
          <w:sz w:val="24"/>
        </w:rPr>
        <w:t xml:space="preserve">☐  </w:t>
      </w:r>
      <w:r>
        <w:rPr>
          <w:sz w:val="22"/>
        </w:rPr>
        <w:t>Pick 2 Steuerberater specialised in Gemeinnützigkeit, get fee quotes (typically €1.5–3k)</w:t>
      </w:r>
    </w:p>
    <w:p>
      <w:r>
        <w:rPr>
          <w:b/>
          <w:sz w:val="24"/>
        </w:rPr>
        <w:t xml:space="preserve">☐  </w:t>
      </w:r>
      <w:r>
        <w:rPr>
          <w:sz w:val="22"/>
        </w:rPr>
        <w:t>Decide entity type (recommend gUG)</w:t>
      </w:r>
    </w:p>
    <w:p>
      <w:r>
        <w:rPr>
          <w:b/>
          <w:sz w:val="24"/>
        </w:rPr>
        <w:t xml:space="preserve">☐  </w:t>
      </w:r>
      <w:r>
        <w:rPr>
          <w:sz w:val="22"/>
        </w:rPr>
        <w:t>Draft Satzung with Steuerberater (must hit § 52 AO purposes: Integration, Völkerverständigung, Bildung)</w:t>
      </w:r>
    </w:p>
    <w:p>
      <w:r>
        <w:rPr>
          <w:b/>
          <w:sz w:val="24"/>
        </w:rPr>
        <w:t xml:space="preserve">☐  </w:t>
      </w:r>
      <w:r>
        <w:rPr>
          <w:sz w:val="22"/>
        </w:rPr>
        <w:t>Notar-Termin for incorporation</w:t>
      </w:r>
    </w:p>
    <w:p>
      <w:r>
        <w:rPr>
          <w:b/>
          <w:sz w:val="24"/>
        </w:rPr>
        <w:t xml:space="preserve">☐  </w:t>
      </w:r>
      <w:r>
        <w:rPr>
          <w:sz w:val="22"/>
        </w:rPr>
        <w:t>Open business bank account</w:t>
      </w:r>
    </w:p>
    <w:p>
      <w:r>
        <w:rPr>
          <w:b/>
          <w:sz w:val="24"/>
        </w:rPr>
        <w:t xml:space="preserve">☐  </w:t>
      </w:r>
      <w:r>
        <w:rPr>
          <w:sz w:val="22"/>
        </w:rPr>
        <w:t>Submit to Finanzamt for Gemeinnützigkeitsbescheinigung</w:t>
      </w:r>
    </w:p>
    <w:p>
      <w:pPr>
        <w:pStyle w:val="Heading2"/>
      </w:pPr>
      <w:r>
        <w:t>P0.2 — Soft launch the platform (~4 weeks)</w:t>
      </w:r>
    </w:p>
    <w:p>
      <w:r>
        <w:rPr>
          <w:b/>
          <w:sz w:val="24"/>
        </w:rPr>
        <w:t xml:space="preserve">☐  </w:t>
      </w:r>
      <w:r>
        <w:rPr>
          <w:sz w:val="22"/>
        </w:rPr>
        <w:t>Lock launch date (target: ~4 weeks from today)</w:t>
      </w:r>
    </w:p>
    <w:p>
      <w:r>
        <w:rPr>
          <w:b/>
          <w:sz w:val="24"/>
        </w:rPr>
        <w:t xml:space="preserve">☐  </w:t>
      </w:r>
      <w:r>
        <w:rPr>
          <w:sz w:val="22"/>
        </w:rPr>
        <w:t>Seed 10–15 communities and 50–100 resources before launch — 'live in beta with real content' beats 'will launch when funded'</w:t>
      </w:r>
    </w:p>
    <w:p>
      <w:r>
        <w:rPr>
          <w:b/>
          <w:sz w:val="24"/>
        </w:rPr>
        <w:t xml:space="preserve">☐  </w:t>
      </w:r>
      <w:r>
        <w:rPr>
          <w:sz w:val="22"/>
        </w:rPr>
        <w:t>Publish accessibility statement (BFSG)</w:t>
      </w:r>
    </w:p>
    <w:p>
      <w:r>
        <w:rPr>
          <w:b/>
          <w:sz w:val="24"/>
        </w:rPr>
        <w:t xml:space="preserve">☐  </w:t>
      </w:r>
      <w:r>
        <w:rPr>
          <w:sz w:val="22"/>
        </w:rPr>
        <w:t>Publish DSGVO/Impressum legally clean</w:t>
      </w:r>
    </w:p>
    <w:p>
      <w:r>
        <w:rPr>
          <w:b/>
          <w:sz w:val="24"/>
        </w:rPr>
        <w:t xml:space="preserve">☐  </w:t>
      </w:r>
      <w:r>
        <w:rPr>
          <w:sz w:val="22"/>
        </w:rPr>
        <w:t>Run 1 small real community event through the platform; capture RSVPs and attendance</w:t>
      </w:r>
    </w:p>
    <w:p>
      <w:r>
        <w:rPr>
          <w:b/>
          <w:sz w:val="24"/>
        </w:rPr>
        <w:t xml:space="preserve">☐  </w:t>
      </w:r>
      <w:r>
        <w:rPr>
          <w:sz w:val="22"/>
        </w:rPr>
        <w:t>Capture 5 user quotes from new arrivals — strongest evidence in any application</w:t>
      </w:r>
    </w:p>
    <w:p>
      <w:pPr>
        <w:pStyle w:val="Heading2"/>
      </w:pPr>
      <w:r>
        <w:t>P0.3 — Reality-check sprint (1–2 days)</w:t>
      </w:r>
    </w:p>
    <w:p>
      <w:r>
        <w:rPr>
          <w:b/>
          <w:sz w:val="24"/>
        </w:rPr>
        <w:t xml:space="preserve">☐  </w:t>
      </w:r>
      <w:r>
        <w:rPr>
          <w:sz w:val="22"/>
        </w:rPr>
        <w:t>Build 'real community list' spreadsheet: 30+ Indian organisations across Stuttgart, Sindelfingen, Waiblingen with name, contact, status</w:t>
      </w:r>
    </w:p>
    <w:p>
      <w:r>
        <w:rPr>
          <w:b/>
          <w:sz w:val="24"/>
        </w:rPr>
        <w:t xml:space="preserve">☐  </w:t>
      </w:r>
      <w:r>
        <w:rPr>
          <w:sz w:val="22"/>
        </w:rPr>
        <w:t>Talk to 5 Indians who arrived in the last 12 months. Verbatim quotes go into pitch materials</w:t>
      </w:r>
    </w:p>
    <w:p>
      <w:r>
        <w:rPr>
          <w:b/>
          <w:sz w:val="24"/>
        </w:rPr>
        <w:t xml:space="preserve">☐  </w:t>
      </w:r>
      <w:r>
        <w:rPr>
          <w:sz w:val="22"/>
        </w:rPr>
        <w:t>Email 1 freelance evaluation consultant: 'capacity for a 12mo integration evaluation, €15k?'</w:t>
      </w:r>
    </w:p>
    <w:p>
      <w:r>
        <w:rPr>
          <w:b/>
          <w:sz w:val="24"/>
        </w:rPr>
        <w:t xml:space="preserve">☐  </w:t>
      </w:r>
      <w:r>
        <w:rPr>
          <w:sz w:val="22"/>
        </w:rPr>
        <w:t>Light-touch email to ifo or BAMF-FZ researcher: 20-min advice call (not a contract ask)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F"/>
          </w:tcPr>
          <w:p>
            <w:r>
              <w:rPr>
                <w:b/>
                <w:color w:val="0B3D91"/>
                <w:sz w:val="24"/>
              </w:rPr>
              <w:t>Why Phase 0 is non-negotiable</w:t>
              <w:br/>
            </w:r>
            <w:r>
              <w:rPr>
                <w:sz w:val="22"/>
              </w:rPr>
              <w:t>Without legal entity, AMIF / ESF+ / Mercator / Bosch / BW Stiftung all reject the application at the door. Without a live product with even 10 communities, the strongest deck claim ('platform built') reads as vapourware. Spend 4 weeks here and the next 12 months become 10× easier. Skip it and you waste 6 months on applications no one can accept.</w:t>
            </w:r>
          </w:p>
        </w:tc>
      </w:tr>
    </w:tbl>
    <w:p/>
    <w:p>
      <w:pPr>
        <w:pStyle w:val="Heading1"/>
      </w:pPr>
      <w:r>
        <w:t>0. What we have in hand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249"/>
          </w:tcPr>
          <w:p>
            <w:r/>
            <w:r>
              <w:rPr>
                <w:b/>
                <w:color w:val="FFFFFF"/>
              </w:rPr>
              <w:t>Send to</w:t>
            </w:r>
          </w:p>
        </w:tc>
      </w:tr>
      <w:tr>
        <w:tc>
          <w:tcPr>
            <w:tcW w:type="dxa" w:w="3249"/>
          </w:tcPr>
          <w:p>
            <w:r>
              <w:t>indlokal-grant-deck.pptx</w:t>
            </w:r>
          </w:p>
        </w:tc>
        <w:tc>
          <w:tcPr>
            <w:tcW w:type="dxa" w:w="3249"/>
          </w:tcPr>
          <w:p>
            <w:r>
              <w:t>Full pitch deck (3 funding tiers, KPIs, budget, timeline)</w:t>
            </w:r>
          </w:p>
        </w:tc>
        <w:tc>
          <w:tcPr>
            <w:tcW w:type="dxa" w:w="3249"/>
          </w:tcPr>
          <w:p>
            <w:r>
              <w:t>Foundations + AMIF/ESF+ programme officers, after first contact</w:t>
            </w:r>
          </w:p>
        </w:tc>
      </w:tr>
      <w:tr>
        <w:tc>
          <w:tcPr>
            <w:tcW w:type="dxa" w:w="3249"/>
          </w:tcPr>
          <w:p>
            <w:r>
              <w:t>IndLokal_Stuttgart_OnePager.docx</w:t>
            </w:r>
          </w:p>
        </w:tc>
        <w:tc>
          <w:tcPr>
            <w:tcW w:type="dxa" w:w="3249"/>
          </w:tcPr>
          <w:p>
            <w:r>
              <w:t>1-page intro for Stadt Stuttgart Abteilung Integration</w:t>
            </w:r>
          </w:p>
        </w:tc>
        <w:tc>
          <w:tcPr>
            <w:tcW w:type="dxa" w:w="3249"/>
          </w:tcPr>
          <w:p>
            <w:r>
              <w:t>Stadt Stuttgart Welcome Center / Integrationsbeauftragte</w:t>
            </w:r>
          </w:p>
        </w:tc>
      </w:tr>
      <w:tr>
        <w:tc>
          <w:tcPr>
            <w:tcW w:type="dxa" w:w="3249"/>
          </w:tcPr>
          <w:p>
            <w:r>
              <w:t>IndLokal_Sindelfingen_OnePager.docx</w:t>
            </w:r>
          </w:p>
        </w:tc>
        <w:tc>
          <w:tcPr>
            <w:tcW w:type="dxa" w:w="3249"/>
          </w:tcPr>
          <w:p>
            <w:r>
              <w:t>1-page intro under Jaya's name, Sindelfingen-resident framing</w:t>
            </w:r>
          </w:p>
        </w:tc>
        <w:tc>
          <w:tcPr>
            <w:tcW w:type="dxa" w:w="3249"/>
          </w:tcPr>
          <w:p>
            <w:r>
              <w:t>Stadt Sindelfingen Integrationsbeauftragte</w:t>
            </w:r>
          </w:p>
        </w:tc>
      </w:tr>
      <w:tr>
        <w:tc>
          <w:tcPr>
            <w:tcW w:type="dxa" w:w="3249"/>
          </w:tcPr>
          <w:p>
            <w:r>
              <w:t>IndLokal_Waiblingen_OnePager.docx</w:t>
            </w:r>
          </w:p>
        </w:tc>
        <w:tc>
          <w:tcPr>
            <w:tcW w:type="dxa" w:w="3249"/>
          </w:tcPr>
          <w:p>
            <w:r>
              <w:t>1-page intro under Dhiraj's name, Waiblingen-resident framing</w:t>
            </w:r>
          </w:p>
        </w:tc>
        <w:tc>
          <w:tcPr>
            <w:tcW w:type="dxa" w:w="3249"/>
          </w:tcPr>
          <w:p>
            <w:r>
              <w:t>Stadt Waiblingen + Landratsamt Rems-Murr-Kreis Integration</w:t>
            </w:r>
          </w:p>
        </w:tc>
      </w:tr>
      <w:tr>
        <w:tc>
          <w:tcPr>
            <w:tcW w:type="dxa" w:w="3249"/>
          </w:tcPr>
          <w:p>
            <w:r>
              <w:t>IndLokal_Grant_Strategy.docx</w:t>
            </w:r>
          </w:p>
        </w:tc>
        <w:tc>
          <w:tcPr>
            <w:tcW w:type="dxa" w:w="3249"/>
          </w:tcPr>
          <w:p>
            <w:r>
              <w:t>Internal strategy memo (programme tiers, gGmbH/e.V., paperwork)</w:t>
            </w:r>
          </w:p>
        </w:tc>
        <w:tc>
          <w:tcPr>
            <w:tcW w:type="dxa" w:w="3249"/>
          </w:tcPr>
          <w:p>
            <w:r>
              <w:t>Internal use only — not for funders</w:t>
            </w:r>
          </w:p>
        </w:tc>
      </w:tr>
      <w:tr>
        <w:tc>
          <w:tcPr>
            <w:tcW w:type="dxa" w:w="3249"/>
          </w:tcPr>
          <w:p>
            <w:r>
              <w:t>EU_Grants_Explained.docx</w:t>
            </w:r>
          </w:p>
        </w:tc>
        <w:tc>
          <w:tcPr>
            <w:tcW w:type="dxa" w:w="3249"/>
          </w:tcPr>
          <w:p>
            <w:r>
              <w:t>Background primer on EU grant landscape</w:t>
            </w:r>
          </w:p>
        </w:tc>
        <w:tc>
          <w:tcPr>
            <w:tcW w:type="dxa" w:w="3249"/>
          </w:tcPr>
          <w:p>
            <w:r>
              <w:t>Internal reference / orientation for new team members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DC"/>
          </w:tcPr>
          <w:p>
            <w:r>
              <w:rPr>
                <w:b/>
                <w:color w:val="0B3D91"/>
                <w:sz w:val="24"/>
              </w:rPr>
              <w:t>Golden rule</w:t>
              <w:br/>
            </w:r>
            <w:r>
              <w:rPr>
                <w:sz w:val="22"/>
              </w:rPr>
              <w:t>Never send the deck cold. Always send the relevant 1-pager first, ask for a 30-min meeting, and bring the deck to the meeting. 1-pagers get read; cold decks get archived.</w:t>
            </w:r>
          </w:p>
        </w:tc>
      </w:tr>
    </w:tbl>
    <w:p/>
    <w:p>
      <w:pPr>
        <w:pStyle w:val="Heading1"/>
      </w:pPr>
      <w:r>
        <w:t>1. Week 1 — reality-check sprint (do BEFORE any funder contact)</w:t>
      </w:r>
    </w:p>
    <w:p>
      <w:r>
        <w:t>These five tasks calibrate the numbers in the deck. Without them, any funder conversation is built on sand. Allocate 1\u20132 days.</w:t>
      </w:r>
    </w:p>
    <w:p>
      <w:r>
        <w:rPr>
          <w:b/>
          <w:sz w:val="24"/>
        </w:rPr>
        <w:t xml:space="preserve">☐  </w:t>
      </w:r>
      <w:r>
        <w:rPr>
          <w:sz w:val="22"/>
        </w:rPr>
        <w:t>Build the 'real community list' spreadsheet: every Indian organisation, temple, association, sports club, language circle, alumni network you can name in Stuttgart / Sindelfingen / Waiblingen. Aim for 30+. Columns: name, contact person, contact channel, status (cold / warm / committed).</w:t>
      </w:r>
    </w:p>
    <w:p>
      <w:r>
        <w:rPr>
          <w:b/>
          <w:sz w:val="24"/>
        </w:rPr>
        <w:t xml:space="preserve">☐  </w:t>
      </w:r>
      <w:r>
        <w:rPr>
          <w:sz w:val="22"/>
        </w:rPr>
        <w:t>Talk to 5 Indians who arrived in the region in the last 12 months. One question: 'Where did you find your first community event?' Capture verbatim quotes — these become the deck's strongest evidence.</w:t>
      </w:r>
    </w:p>
    <w:p>
      <w:r>
        <w:rPr>
          <w:b/>
          <w:sz w:val="24"/>
        </w:rPr>
        <w:t xml:space="preserve">☐  </w:t>
      </w:r>
      <w:r>
        <w:rPr>
          <w:sz w:val="22"/>
        </w:rPr>
        <w:t>Run one real event through the platform: a community sponsor posts, you measure RSVPs and attendance. Even 12 RSVPs gives you 'baseline' data instead of 'baseline 0'.</w:t>
      </w:r>
    </w:p>
    <w:p>
      <w:r>
        <w:rPr>
          <w:b/>
          <w:sz w:val="24"/>
        </w:rPr>
        <w:t xml:space="preserve">☐  </w:t>
      </w:r>
      <w:r>
        <w:rPr>
          <w:sz w:val="22"/>
        </w:rPr>
        <w:t>Email 1 freelance evaluation consultant (or a chair at Uni Stuttgart / HS Esslingen) and ask: 'capacity to evaluate a 12mo integration pilot for €15k?' Their reply unlocks the evaluation line item.</w:t>
      </w:r>
    </w:p>
    <w:p>
      <w:r>
        <w:rPr>
          <w:b/>
          <w:sz w:val="24"/>
        </w:rPr>
        <w:t xml:space="preserve">☐  </w:t>
      </w:r>
      <w:r>
        <w:rPr>
          <w:sz w:val="22"/>
        </w:rPr>
        <w:t>Email 1 BAMF-FZ or ifo researcher (light touch): 'we'd love a 20-min call to learn how you'd advise on evaluation design'. NOT a contract ask. Builds the research-link credibility for later.</w:t>
      </w:r>
    </w:p>
    <w:p>
      <w:pPr>
        <w:pStyle w:val="Heading1"/>
      </w:pPr>
      <w:r>
        <w:t>Phase 1 — weeks 4–6: anchor meetings, in PARALLEL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F"/>
          </w:tcPr>
          <w:p>
            <w:r>
              <w:rPr>
                <w:b/>
                <w:color w:val="0B3D91"/>
                <w:sz w:val="24"/>
              </w:rPr>
              <w:t>Run city + Consulate outreach in parallel, not sequentially</w:t>
              <w:br/>
            </w:r>
            <w:r>
              <w:rPr>
                <w:sz w:val="22"/>
              </w:rPr>
              <w:t>In the AI era, 'pilot one city, prove it, then expand' is too slow. Per-city marginal cost is low; trust and partnerships are the real bottleneck. So the anchor-meeting wave runs across Stuttgart (anchor city), Munich and Frankfurt (city governments + Indian Consulates General) simultaneously. Use IndLokal_Consulate_Outreach_Pack.docx for the diplomatic track and the city one-pagers for the municipal track.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F"/>
          </w:tcPr>
          <w:p>
            <w:r>
              <w:rPr>
                <w:b/>
                <w:color w:val="0B3D91"/>
                <w:sz w:val="24"/>
              </w:rPr>
              <w:t>Single most important action</w:t>
              <w:br/>
            </w:r>
            <w:r>
              <w:rPr>
                <w:sz w:val="22"/>
              </w:rPr>
              <w:t>Book a 30-minute meeting with Stadt Stuttgart Abteilung Integration. Their Letter of Support unlocks AMIF, ESF+ BW, BW Stiftung, Bosch and Mercator. One meeting = five applications enabled.</w:t>
            </w:r>
          </w:p>
        </w:tc>
      </w:tr>
    </w:tbl>
    <w:p/>
    <w:p>
      <w:pPr>
        <w:pStyle w:val="ListNumber"/>
      </w:pPr>
      <w:r>
        <w:t>Send IndLokal_Stuttgart_OnePager.docx to the Abteilung Integration mailbox (Stadt Stuttgart, Eberhardstraße). Use the email template in section 8 below.</w:t>
      </w:r>
    </w:p>
    <w:p>
      <w:pPr>
        <w:pStyle w:val="ListNumber"/>
      </w:pPr>
      <w:r>
        <w:t>If no reply in 7 days, follow up once. If still no reply, ask a known intermediary (IHK contact, university international office, community leader) for a warm intro.</w:t>
      </w:r>
    </w:p>
    <w:p>
      <w:pPr>
        <w:pStyle w:val="ListNumber"/>
      </w:pPr>
      <w:r>
        <w:t>In parallel, both founders book meetings in their home cities (Sindelfingen / Waiblingen) using their respective one-pagers. Don't wait for Stuttgart.</w:t>
      </w:r>
    </w:p>
    <w:p>
      <w:pPr>
        <w:pStyle w:val="ListNumber"/>
      </w:pPr>
      <w:r>
        <w:t>Goal of each meeting: a verbal yes for a Letter of Support. Bring the deck on a laptop. Show the live app. Don't ask for money in this meeting.</w:t>
      </w:r>
    </w:p>
    <w:p>
      <w:pPr>
        <w:pStyle w:val="Heading1"/>
      </w:pPr>
      <w:r>
        <w:t>Phase 2 — weeks 4–8: grant-paperwork basics (after entity exists)</w:t>
      </w:r>
    </w:p>
    <w:p>
      <w:r>
        <w:t>These items have long lead times. Start them on day 1 even though you won't use them for weeks.</w:t>
      </w:r>
    </w:p>
    <w:p>
      <w:r>
        <w:rPr>
          <w:b/>
          <w:sz w:val="24"/>
        </w:rPr>
        <w:t xml:space="preserve">☐  </w:t>
      </w:r>
      <w:r>
        <w:rPr>
          <w:sz w:val="22"/>
        </w:rPr>
        <w:t>Register PIC code on the EU Funding &amp; Tenders Portal (free, slow). Required for AMIF.</w:t>
      </w:r>
    </w:p>
    <w:p>
      <w:r>
        <w:rPr>
          <w:b/>
          <w:sz w:val="24"/>
        </w:rPr>
        <w:t xml:space="preserve">☐  </w:t>
      </w:r>
      <w:r>
        <w:rPr>
          <w:sz w:val="22"/>
        </w:rPr>
        <w:t>Both founders create EU Login accounts.</w:t>
      </w:r>
    </w:p>
    <w:p>
      <w:r>
        <w:rPr>
          <w:b/>
          <w:sz w:val="24"/>
        </w:rPr>
        <w:t xml:space="preserve">☐  </w:t>
      </w:r>
      <w:r>
        <w:rPr>
          <w:sz w:val="22"/>
        </w:rPr>
        <w:t>Talk to a Steuerberater specialised in Gemeinnützigkeit about gGmbH or e.V. setup. Get written cost + timeline. Decision: yes / no / later.</w:t>
      </w:r>
    </w:p>
    <w:p>
      <w:r>
        <w:rPr>
          <w:b/>
          <w:sz w:val="24"/>
        </w:rPr>
        <w:t xml:space="preserve">☐  </w:t>
      </w:r>
      <w:r>
        <w:rPr>
          <w:sz w:val="22"/>
        </w:rPr>
        <w:t>Draft DSGVO concept: DPIA for community/event data, AVV with hosting providers, ROPA (Verarbeitungsverzeichnis).</w:t>
      </w:r>
    </w:p>
    <w:p>
      <w:r>
        <w:rPr>
          <w:b/>
          <w:sz w:val="24"/>
        </w:rPr>
        <w:t xml:space="preserve">☐  </w:t>
      </w:r>
      <w:r>
        <w:rPr>
          <w:sz w:val="22"/>
        </w:rPr>
        <w:t>Publish accessibility statement on indlokal.de per BFSG.</w:t>
      </w:r>
    </w:p>
    <w:p>
      <w:r>
        <w:rPr>
          <w:b/>
          <w:sz w:val="24"/>
        </w:rPr>
        <w:t xml:space="preserve">☐  </w:t>
      </w:r>
      <w:r>
        <w:rPr>
          <w:sz w:val="22"/>
        </w:rPr>
        <w:t>Open a separate project bank account (will be required by AMIF / ESF+ if won).</w:t>
      </w:r>
    </w:p>
    <w:p>
      <w:r>
        <w:rPr>
          <w:b/>
          <w:sz w:val="24"/>
        </w:rPr>
        <w:t xml:space="preserve">☐  </w:t>
      </w:r>
      <w:r>
        <w:rPr>
          <w:sz w:val="22"/>
        </w:rPr>
        <w:t>Pull together last 1\u20132 years of financials, audited or reviewed.</w:t>
      </w:r>
    </w:p>
    <w:p>
      <w:pPr>
        <w:pStyle w:val="Heading1"/>
      </w:pPr>
      <w:r>
        <w:t>Phase 3 — weeks 6–12: first cheque attempts (foundations)</w:t>
      </w:r>
    </w:p>
    <w:p>
      <w:r>
        <w:t>Foundations have rolling deadlines and faster decisions than public funding. Aim to land at least one small cheque before tackling AMIF / ESF+.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/>
            <w:r>
              <w:rPr>
                <w:b/>
                <w:color w:val="FFFFFF"/>
              </w:rPr>
              <w:t>Funder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FFFFFF"/>
              </w:rPr>
              <w:t>Tier from deck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FFFFFF"/>
              </w:rPr>
              <w:t>Application channel</w:t>
            </w:r>
          </w:p>
        </w:tc>
        <w:tc>
          <w:tcPr>
            <w:tcW w:type="dxa" w:w="2436"/>
          </w:tcPr>
          <w:p>
            <w:r/>
            <w:r>
              <w:rPr>
                <w:b/>
                <w:color w:val="FFFFFF"/>
              </w:rPr>
              <w:t>Timeline</w:t>
            </w:r>
          </w:p>
        </w:tc>
      </w:tr>
      <w:tr>
        <w:tc>
          <w:tcPr>
            <w:tcW w:type="dxa" w:w="2436"/>
          </w:tcPr>
          <w:p>
            <w:r>
              <w:t>Stadt Stuttgart Integrationsfonds</w:t>
            </w:r>
          </w:p>
        </w:tc>
        <w:tc>
          <w:tcPr>
            <w:tcW w:type="dxa" w:w="2436"/>
          </w:tcPr>
          <w:p>
            <w:r>
              <w:t>€85k lean (top of range or contribution)</w:t>
            </w:r>
          </w:p>
        </w:tc>
        <w:tc>
          <w:tcPr>
            <w:tcW w:type="dxa" w:w="2436"/>
          </w:tcPr>
          <w:p>
            <w:r>
              <w:t>Online form via stadt-stuttgart.de + cover letter + deck</w:t>
            </w:r>
          </w:p>
        </w:tc>
        <w:tc>
          <w:tcPr>
            <w:tcW w:type="dxa" w:w="2436"/>
          </w:tcPr>
          <w:p>
            <w:r>
              <w:t>Decision in 4\u20138 weeks</w:t>
            </w:r>
          </w:p>
        </w:tc>
      </w:tr>
      <w:tr>
        <w:tc>
          <w:tcPr>
            <w:tcW w:type="dxa" w:w="2436"/>
          </w:tcPr>
          <w:p>
            <w:r>
              <w:t>Bürgerstiftung Stuttgart</w:t>
            </w:r>
          </w:p>
        </w:tc>
        <w:tc>
          <w:tcPr>
            <w:tcW w:type="dxa" w:w="2436"/>
          </w:tcPr>
          <w:p>
            <w:r>
              <w:t>Small contribution</w:t>
            </w:r>
          </w:p>
        </w:tc>
        <w:tc>
          <w:tcPr>
            <w:tcW w:type="dxa" w:w="2436"/>
          </w:tcPr>
          <w:p>
            <w:r>
              <w:t>Online form + 2-page concept</w:t>
            </w:r>
          </w:p>
        </w:tc>
        <w:tc>
          <w:tcPr>
            <w:tcW w:type="dxa" w:w="2436"/>
          </w:tcPr>
          <w:p>
            <w:r>
              <w:t>Quarterly decisions</w:t>
            </w:r>
          </w:p>
        </w:tc>
      </w:tr>
      <w:tr>
        <w:tc>
          <w:tcPr>
            <w:tcW w:type="dxa" w:w="2436"/>
          </w:tcPr>
          <w:p>
            <w:r>
              <w:t>Robert Bosch Stiftung — Migration</w:t>
            </w:r>
          </w:p>
        </w:tc>
        <w:tc>
          <w:tcPr>
            <w:tcW w:type="dxa" w:w="2436"/>
          </w:tcPr>
          <w:p>
            <w:r>
              <w:t>€50\u201385k</w:t>
            </w:r>
          </w:p>
        </w:tc>
        <w:tc>
          <w:tcPr>
            <w:tcW w:type="dxa" w:w="2436"/>
          </w:tcPr>
          <w:p>
            <w:r>
              <w:t>Email programme officer + deck. Stuttgart-HQ helps.</w:t>
            </w:r>
          </w:p>
        </w:tc>
        <w:tc>
          <w:tcPr>
            <w:tcW w:type="dxa" w:w="2436"/>
          </w:tcPr>
          <w:p>
            <w:r>
              <w:t>Decision in 8\u201316 weeks</w:t>
            </w:r>
          </w:p>
        </w:tc>
      </w:tr>
      <w:tr>
        <w:tc>
          <w:tcPr>
            <w:tcW w:type="dxa" w:w="2436"/>
          </w:tcPr>
          <w:p>
            <w:r>
              <w:t>Stiftung Mercator — Teilhabe &amp; Zusammenhalt</w:t>
            </w:r>
          </w:p>
        </w:tc>
        <w:tc>
          <w:tcPr>
            <w:tcW w:type="dxa" w:w="2436"/>
          </w:tcPr>
          <w:p>
            <w:r>
              <w:t>€85\u2013150k</w:t>
            </w:r>
          </w:p>
        </w:tc>
        <w:tc>
          <w:tcPr>
            <w:tcW w:type="dxa" w:w="2436"/>
          </w:tcPr>
          <w:p>
            <w:r>
              <w:t>Email programme officer + deck</w:t>
            </w:r>
          </w:p>
        </w:tc>
        <w:tc>
          <w:tcPr>
            <w:tcW w:type="dxa" w:w="2436"/>
          </w:tcPr>
          <w:p>
            <w:r>
              <w:t>Decision in 12\u201320 weeks</w:t>
            </w:r>
          </w:p>
        </w:tc>
      </w:tr>
      <w:tr>
        <w:tc>
          <w:tcPr>
            <w:tcW w:type="dxa" w:w="2436"/>
          </w:tcPr>
          <w:p>
            <w:r>
              <w:t>BW Stiftung — Integration</w:t>
            </w:r>
          </w:p>
        </w:tc>
        <w:tc>
          <w:tcPr>
            <w:tcW w:type="dxa" w:w="2436"/>
          </w:tcPr>
          <w:p>
            <w:r>
              <w:t>€85\u2013150k</w:t>
            </w:r>
          </w:p>
        </w:tc>
        <w:tc>
          <w:tcPr>
            <w:tcW w:type="dxa" w:w="2436"/>
          </w:tcPr>
          <w:p>
            <w:r>
              <w:t>Public calls (check site) or unsolicited concept paper</w:t>
            </w:r>
          </w:p>
        </w:tc>
        <w:tc>
          <w:tcPr>
            <w:tcW w:type="dxa" w:w="2436"/>
          </w:tcPr>
          <w:p>
            <w:r>
              <w:t>Call-cycle dependent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DC"/>
          </w:tcPr>
          <w:p>
            <w:r>
              <w:rPr>
                <w:b/>
                <w:color w:val="0B3D91"/>
                <w:sz w:val="24"/>
              </w:rPr>
              <w:t>Stack-target reminder</w:t>
              <w:br/>
            </w:r>
            <w:r>
              <w:rPr>
                <w:sz w:val="22"/>
              </w:rPr>
              <w:t>Each foundation is a candidate for the €85k lean OR a slice of the €150k full ask. Keep a tracking sheet of who you've asked for what. Don't double-promise the same euros.</w:t>
            </w:r>
          </w:p>
        </w:tc>
      </w:tr>
    </w:tbl>
    <w:p/>
    <w:p>
      <w:pPr>
        <w:pStyle w:val="Heading1"/>
      </w:pPr>
      <w:r>
        <w:t>Phase 4 — weeks 10–20: public funding (AMIF / ESF+)</w:t>
      </w:r>
    </w:p>
    <w:p>
      <w:r>
        <w:t>Larger cheques, longer timelines, more paperwork. Start once you have at least one Letter of Support and ideally one foundation win or commitment.</w:t>
      </w:r>
    </w:p>
    <w:p>
      <w:pPr>
        <w:pStyle w:val="ListNumber"/>
      </w:pPr>
      <w:r>
        <w:t>Email BAMF Regionalkoordinator BW: introduce IndLokal, ask about current AMIF national programme call schedule. Attach the deck.</w:t>
      </w:r>
    </w:p>
    <w:p>
      <w:pPr>
        <w:pStyle w:val="ListNumber"/>
      </w:pPr>
      <w:r>
        <w:t>Email BW Ministerium für Soziales referat for Integrationsförderung. Attach deck. Ask which open call best fits.</w:t>
      </w:r>
    </w:p>
    <w:p>
      <w:pPr>
        <w:pStyle w:val="ListNumber"/>
      </w:pPr>
      <w:r>
        <w:t>Identify the next AMIF or ESF+ BW open call. Confirm eligibility, deadlines, co-financing requirement.</w:t>
      </w:r>
    </w:p>
    <w:p>
      <w:pPr>
        <w:pStyle w:val="ListNumber"/>
      </w:pPr>
      <w:r>
        <w:t>Draft Part A (administrative) and Part B (technical proposal). Allocate 80\u2013120 hours.</w:t>
      </w:r>
    </w:p>
    <w:p>
      <w:pPr>
        <w:pStyle w:val="ListNumber"/>
      </w:pPr>
      <w:r>
        <w:t>Get NCP (national contact point) feedback on the draft. Free, valuable.</w:t>
      </w:r>
    </w:p>
    <w:p>
      <w:pPr>
        <w:pStyle w:val="ListNumber"/>
      </w:pPr>
      <w:r>
        <w:t>Submit at least 24h before deadline.</w:t>
      </w:r>
    </w:p>
    <w:p>
      <w:pPr>
        <w:pStyle w:val="Heading1"/>
      </w:pPr>
      <w:r>
        <w:t>Phase 5 — months 2–6: corporate sponsorship (parallel track)</w:t>
      </w:r>
    </w:p>
    <w:p>
      <w:r>
        <w:t>Often faster than grants and counts as co-financing for AMIF / ESF+. Target Indian-major and German companies with Indian workforce.</w:t>
      </w:r>
    </w:p>
    <w:p>
      <w:pPr>
        <w:pStyle w:val="ListBullet"/>
      </w:pPr>
      <w:r>
        <w:t>Indian IT majors with Stuttgart-region offices: TCS, Infosys, Wipro, HCL, Tech Mahindra. Approach via diaspora-affairs / CSR contact.</w:t>
      </w:r>
    </w:p>
    <w:p>
      <w:pPr>
        <w:pStyle w:val="ListBullet"/>
      </w:pPr>
      <w:r>
        <w:t>German employers with large Indian workforce: Mercedes-Benz (Sindelfingen), Bosch (Renningen / Stuttgart), Porsche (Weissach), SAP (Walldorf), Allianz (Stuttgart).</w:t>
      </w:r>
    </w:p>
    <w:p>
      <w:pPr>
        <w:pStyle w:val="ListBullet"/>
      </w:pPr>
      <w:r>
        <w:t>Indo-German Chamber of Commerce (IGCC) — they can intro to multiple corporates and amplify via newsletter.</w:t>
      </w:r>
    </w:p>
    <w:p>
      <w:pPr>
        <w:pStyle w:val="ListBullet"/>
      </w:pPr>
      <w:r>
        <w:t>Ask for: €5\u201325k sponsorship, optional in-kind (event space, employee volunteer hours, content channels).</w:t>
      </w:r>
    </w:p>
    <w:p>
      <w:pPr>
        <w:pStyle w:val="Heading1"/>
      </w:pPr>
      <w:r>
        <w:t>Phase 6 — once the gemeinnützig entity is registered</w:t>
      </w:r>
    </w:p>
    <w:p>
      <w:r>
        <w:rPr>
          <w:b/>
          <w:sz w:val="24"/>
        </w:rPr>
        <w:t xml:space="preserve">☐  </w:t>
      </w:r>
      <w:r>
        <w:rPr>
          <w:sz w:val="22"/>
        </w:rPr>
        <w:t>Apply for Google for Nonprofits → unlocks Ad Grants (~€9k/month) + Workspace.</w:t>
      </w:r>
    </w:p>
    <w:p>
      <w:r>
        <w:rPr>
          <w:b/>
          <w:sz w:val="24"/>
        </w:rPr>
        <w:t xml:space="preserve">☐  </w:t>
      </w:r>
      <w:r>
        <w:rPr>
          <w:sz w:val="22"/>
        </w:rPr>
        <w:t>Apply for Microsoft for Nonprofits → Azure credits (potentially replaces hosting line item).</w:t>
      </w:r>
    </w:p>
    <w:p>
      <w:r>
        <w:rPr>
          <w:b/>
          <w:sz w:val="24"/>
        </w:rPr>
        <w:t xml:space="preserve">☐  </w:t>
      </w:r>
      <w:r>
        <w:rPr>
          <w:sz w:val="22"/>
        </w:rPr>
        <w:t>Apply for Apple App Store nonprofit fee waiver.</w:t>
      </w:r>
    </w:p>
    <w:p>
      <w:r>
        <w:rPr>
          <w:b/>
          <w:sz w:val="24"/>
        </w:rPr>
        <w:t xml:space="preserve">☐  </w:t>
      </w:r>
      <w:r>
        <w:rPr>
          <w:sz w:val="22"/>
        </w:rPr>
        <w:t>Apply for GitHub for Nonprofits / Notion / Slack / Figma nonprofit programmes.</w:t>
      </w:r>
    </w:p>
    <w:p>
      <w:r>
        <w:rPr>
          <w:b/>
          <w:sz w:val="24"/>
        </w:rPr>
        <w:t xml:space="preserve">☐  </w:t>
      </w:r>
      <w:r>
        <w:rPr>
          <w:sz w:val="22"/>
        </w:rPr>
        <w:t>Apply to Prototype Fund (BMBF + OKF DE) if you can release one component as OSS.</w:t>
      </w:r>
    </w:p>
    <w:p>
      <w:pPr>
        <w:pStyle w:val="Heading1"/>
      </w:pPr>
      <w:r>
        <w:t>Email templates</w:t>
      </w:r>
    </w:p>
    <w:p>
      <w:pPr>
        <w:pStyle w:val="Heading2"/>
      </w:pPr>
      <w:r>
        <w:t>Cold intro to a city Integrationsbeauftragte (DE)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8"/>
          </w:tcPr>
          <w:p>
            <w:r>
              <w:rPr>
                <w:b/>
                <w:color w:val="0B3D91"/>
                <w:sz w:val="24"/>
              </w:rPr>
              <w:t>Subject: IndLokal — digitale Integrationsinfrastruktur für die indische Community in [Stadt]</w:t>
              <w:br/>
            </w:r>
            <w:r>
              <w:rPr>
                <w:sz w:val="22"/>
              </w:rPr>
              <w:t>Sehr geehrte Frau / Herr [Name],</w:t>
              <w:br/>
              <w:br/>
              <w:t>mein Name ist [Vorname Nachname], ich bin Bürger:in [Stadt] und Mitgründer:in von IndLokal — einer digitalen Plattform, die neuen indischen Zuwander:innen hilft, lokale Communities, Veranstaltungen und vertrauenswürdige Anlaufstellen in ihrer neuen Heimatstadt zu finden.</w:t>
              <w:br/>
              <w:br/>
              <w:t>Die Plattform ist live (indlokal.de + iOS/Android), aus Eigenmitteln gebaut und steht zur Verfügung. Wir bauen gerade einen 12-monatigen Stuttgart-Pilot mit Partnerkommunen Sindelfingen und Waiblingen auf und würden uns sehr über ein 30-minütiges Kennenlerngespräch freuen, um:</w:t>
              <w:br/>
              <w:t xml:space="preserve">  - die Plattform live vorzustellen,</w:t>
              <w:br/>
              <w:t xml:space="preserve">  - Synergien mit dem Welcome Center / Integrationsangeboten der Stadt zu besprechen,</w:t>
              <w:br/>
              <w:t xml:space="preserve">  - eine schlanke Form der Zusammenarbeit zu skizzieren — ohne städtisches Budget zu binden.</w:t>
              <w:br/>
              <w:br/>
              <w:t>Im Anhang finden Sie eine einseitige Übersicht. Gerne stelle ich auch kurz das Projekt direkt im Termin vor.</w:t>
              <w:br/>
              <w:br/>
              <w:t>Herzliche Grüße</w:t>
              <w:br/>
              <w:t>[Vorname Nachname]</w:t>
              <w:br/>
              <w:t>Mitgründer:in IndLokal</w:t>
              <w:br/>
              <w:t>[Adresse / PLZ Stadt]</w:t>
              <w:br/>
              <w:t>hello@indlokal.de · indlokal.de</w:t>
            </w:r>
          </w:p>
        </w:tc>
      </w:tr>
    </w:tbl>
    <w:p/>
    <w:p>
      <w:pPr>
        <w:pStyle w:val="Heading2"/>
      </w:pPr>
      <w:r>
        <w:t>Foundation programme officer intro (DE)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8"/>
          </w:tcPr>
          <w:p>
            <w:r>
              <w:rPr>
                <w:b/>
                <w:color w:val="0B3D91"/>
                <w:sz w:val="24"/>
              </w:rPr>
              <w:t>Subject: IndLokal — digitale Integrationsinfrastruktur für die indische Community in der Region Stuttgart</w:t>
              <w:br/>
            </w:r>
            <w:r>
              <w:rPr>
                <w:sz w:val="22"/>
              </w:rPr>
              <w:t>Sehr geehrte Frau / Herr [Name],</w:t>
              <w:br/>
              <w:br/>
              <w:t>wir bauen IndLokal auf, eine digitale Integrationsinfrastruktur für die indische Community in Deutschland — beginnend mit einem 12-monatigen Stuttgart-Pilot in Partnerschaft mit Stadt Stuttgart, Sindelfingen und Waiblingen.</w:t>
              <w:br/>
              <w:br/>
              <w:t>Warum wir uns an Sie wenden: Ihr Förderprogramm [Programmname / Schwerpunkt] passt direkt zu unserem Vorhaben — [1\u20132 Sätze, sehr konkret, warum es passt].</w:t>
              <w:br/>
              <w:br/>
              <w:t>Eckdaten:</w:t>
              <w:br/>
              <w:t xml:space="preserve">  - Bestehende Plattform (web + mobile), aus Eigenmitteln gebaut</w:t>
              <w:br/>
              <w:t xml:space="preserve">  - 12-Monats-Pilot in Stuttgart + Partnerkommunen</w:t>
              <w:br/>
              <w:t xml:space="preserve">  - Förderbedarf: €85k (lean) bis €150k (voll)</w:t>
              <w:br/>
              <w:t xml:space="preserve">  - KPIs, Budget und Wirkungsmessung im beigefügten Deck</w:t>
              <w:br/>
              <w:t xml:space="preserve">  - Unabhängige Evaluation eingeplant</w:t>
              <w:br/>
              <w:br/>
              <w:t>Wir würden uns sehr über ein 30-minütiges Kennenlerngespräch freuen.</w:t>
              <w:br/>
              <w:br/>
              <w:t>Herzliche Grüße</w:t>
              <w:br/>
              <w:t>[Vorname Nachname], Mitgründer:in IndLokal</w:t>
              <w:br/>
              <w:t>hello@indlokal.de · indlokal.de</w:t>
            </w:r>
          </w:p>
        </w:tc>
      </w:tr>
    </w:tbl>
    <w:p/>
    <w:p>
      <w:pPr>
        <w:pStyle w:val="Heading2"/>
      </w:pPr>
      <w:r>
        <w:t>Corporate CSR intro (EN, for Indian-IT majors)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8"/>
          </w:tcPr>
          <w:p>
            <w:r>
              <w:rPr>
                <w:b/>
                <w:color w:val="0B3D91"/>
                <w:sz w:val="24"/>
              </w:rPr>
              <w:t>Subject: IndLokal — supporting your Indian colleagues' integration into the Stuttgart region</w:t>
              <w:br/>
            </w:r>
            <w:r>
              <w:rPr>
                <w:sz w:val="22"/>
              </w:rPr>
              <w:t>Dear [Name],</w:t>
              <w:br/>
              <w:br/>
              <w:t>I'm one of the founders of IndLokal, a digital platform that helps new Indian arrivals in Germany find local community, events, and trusted resources in their first 90 days.</w:t>
              <w:br/>
              <w:br/>
              <w:t>Many of your Stuttgart-region colleagues and their families are exactly our target users. We're launching a 12-month Stuttgart pilot in partnership with Stadt Stuttgart, Sindelfingen and Waiblingen, and we'd like to explore whether [Company] would like to be involved as a founding sponsor.</w:t>
              <w:br/>
              <w:br/>
              <w:t>What we'd offer in return:</w:t>
              <w:br/>
              <w:t xml:space="preserve">  - Visible co-branding in Stuttgart / Sindelfingen events</w:t>
              <w:br/>
              <w:t xml:space="preserve">  - A direct, useful integration tool for your incoming Indian hires and their families</w:t>
              <w:br/>
              <w:t xml:space="preserve">  - Quarterly impact reporting you can use for your own CSR / DEI reporting</w:t>
              <w:br/>
              <w:br/>
              <w:t>Sponsorship range: €5\u201325k. 30 minutes to walk you through the platform and the pilot?</w:t>
              <w:br/>
              <w:br/>
              <w:t>Best regards,</w:t>
              <w:br/>
              <w:t>[Name], Co-founder, IndLokal</w:t>
              <w:br/>
              <w:t>hello@indlokal.de · indlokal.de</w:t>
            </w:r>
          </w:p>
        </w:tc>
      </w:tr>
    </w:tbl>
    <w:p/>
    <w:p>
      <w:pPr>
        <w:pStyle w:val="Heading1"/>
      </w:pPr>
      <w:r>
        <w:t>Tracking sheet — maintain weekly</w:t>
      </w:r>
    </w:p>
    <w:p>
      <w:r>
        <w:t>Set up a simple Google Sheet / Notion table. Update weekly. When the first funder asks 'who else are you talking to?' you want a credible answer.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/>
            <w:r>
              <w:rPr>
                <w:b/>
                <w:color w:val="FFFFFF"/>
              </w:rPr>
              <w:t>Funder</w:t>
            </w:r>
          </w:p>
        </w:tc>
        <w:tc>
          <w:tcPr>
            <w:tcW w:type="dxa" w:w="1392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392"/>
          </w:tcPr>
          <w:p>
            <w:r/>
            <w:r>
              <w:rPr>
                <w:b/>
                <w:color w:val="FFFFFF"/>
              </w:rPr>
              <w:t>Amount asked</w:t>
            </w:r>
          </w:p>
        </w:tc>
        <w:tc>
          <w:tcPr>
            <w:tcW w:type="dxa" w:w="1392"/>
          </w:tcPr>
          <w:p>
            <w:r/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392"/>
          </w:tcPr>
          <w:p>
            <w:r/>
            <w:r>
              <w:rPr>
                <w:b/>
                <w:color w:val="FFFFFF"/>
              </w:rPr>
              <w:t>Next action</w:t>
            </w:r>
          </w:p>
        </w:tc>
        <w:tc>
          <w:tcPr>
            <w:tcW w:type="dxa" w:w="1392"/>
          </w:tcPr>
          <w:p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392"/>
          </w:tcPr>
          <w:p>
            <w:r/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1392"/>
          </w:tcPr>
          <w:p>
            <w:r>
              <w:t>Stadt Stuttgart Abt. Integration</w:t>
            </w:r>
          </w:p>
        </w:tc>
        <w:tc>
          <w:tcPr>
            <w:tcW w:type="dxa" w:w="1392"/>
          </w:tcPr>
          <w:p>
            <w:r>
              <w:t>City</w:t>
            </w:r>
          </w:p>
        </w:tc>
        <w:tc>
          <w:tcPr>
            <w:tcW w:type="dxa" w:w="1392"/>
          </w:tcPr>
          <w:p>
            <w:r>
              <w:t>Letter of Support</w:t>
            </w:r>
          </w:p>
        </w:tc>
        <w:tc>
          <w:tcPr>
            <w:tcW w:type="dxa" w:w="1392"/>
          </w:tcPr>
          <w:p>
            <w:r>
              <w:t>(e.g. Email sent 25.04)</w:t>
            </w:r>
          </w:p>
        </w:tc>
        <w:tc>
          <w:tcPr>
            <w:tcW w:type="dxa" w:w="1392"/>
          </w:tcPr>
          <w:p>
            <w:r>
              <w:t>Follow-up 02.05</w:t>
            </w:r>
          </w:p>
        </w:tc>
        <w:tc>
          <w:tcPr>
            <w:tcW w:type="dxa" w:w="1392"/>
          </w:tcPr>
          <w:p>
            <w:r>
              <w:t>Dhiraj</w:t>
            </w:r>
          </w:p>
        </w:tc>
        <w:tc>
          <w:tcPr>
            <w:tcW w:type="dxa" w:w="1392"/>
          </w:tcPr>
          <w:p>
            <w:r>
              <w:t>—</w:t>
            </w:r>
          </w:p>
        </w:tc>
      </w:tr>
      <w:tr>
        <w:tc>
          <w:tcPr>
            <w:tcW w:type="dxa" w:w="1392"/>
          </w:tcPr>
          <w:p>
            <w:r>
              <w:t>Stadt Sindelfingen</w:t>
            </w:r>
          </w:p>
        </w:tc>
        <w:tc>
          <w:tcPr>
            <w:tcW w:type="dxa" w:w="1392"/>
          </w:tcPr>
          <w:p>
            <w:r>
              <w:t>City</w:t>
            </w:r>
          </w:p>
        </w:tc>
        <w:tc>
          <w:tcPr>
            <w:tcW w:type="dxa" w:w="1392"/>
          </w:tcPr>
          <w:p>
            <w:r>
              <w:t>LoS + €5\u201315k Integrationsfonds</w:t>
            </w:r>
          </w:p>
        </w:tc>
        <w:tc>
          <w:tcPr>
            <w:tcW w:type="dxa" w:w="1392"/>
          </w:tcPr>
          <w:p>
            <w:r>
              <w:t>Email sent</w:t>
            </w:r>
          </w:p>
        </w:tc>
        <w:tc>
          <w:tcPr>
            <w:tcW w:type="dxa" w:w="1392"/>
          </w:tcPr>
          <w:p>
            <w:r>
              <w:t>Follow-up</w:t>
            </w:r>
          </w:p>
        </w:tc>
        <w:tc>
          <w:tcPr>
            <w:tcW w:type="dxa" w:w="1392"/>
          </w:tcPr>
          <w:p>
            <w:r>
              <w:t>Jaya</w:t>
            </w:r>
          </w:p>
        </w:tc>
        <w:tc>
          <w:tcPr>
            <w:tcW w:type="dxa" w:w="1392"/>
          </w:tcPr>
          <w:p>
            <w:r>
              <w:t>—</w:t>
            </w:r>
          </w:p>
        </w:tc>
      </w:tr>
      <w:tr>
        <w:tc>
          <w:tcPr>
            <w:tcW w:type="dxa" w:w="1392"/>
          </w:tcPr>
          <w:p>
            <w:r>
              <w:t>Stadt Waiblingen</w:t>
            </w:r>
          </w:p>
        </w:tc>
        <w:tc>
          <w:tcPr>
            <w:tcW w:type="dxa" w:w="1392"/>
          </w:tcPr>
          <w:p>
            <w:r>
              <w:t>City</w:t>
            </w:r>
          </w:p>
        </w:tc>
        <w:tc>
          <w:tcPr>
            <w:tcW w:type="dxa" w:w="1392"/>
          </w:tcPr>
          <w:p>
            <w:r>
              <w:t>LoS + €5\u201315k Integrationsfonds</w:t>
            </w:r>
          </w:p>
        </w:tc>
        <w:tc>
          <w:tcPr>
            <w:tcW w:type="dxa" w:w="1392"/>
          </w:tcPr>
          <w:p>
            <w:r>
              <w:t>Email sent</w:t>
            </w:r>
          </w:p>
        </w:tc>
        <w:tc>
          <w:tcPr>
            <w:tcW w:type="dxa" w:w="1392"/>
          </w:tcPr>
          <w:p>
            <w:r>
              <w:t>Follow-up</w:t>
            </w:r>
          </w:p>
        </w:tc>
        <w:tc>
          <w:tcPr>
            <w:tcW w:type="dxa" w:w="1392"/>
          </w:tcPr>
          <w:p>
            <w:r>
              <w:t>Dhiraj</w:t>
            </w:r>
          </w:p>
        </w:tc>
        <w:tc>
          <w:tcPr>
            <w:tcW w:type="dxa" w:w="1392"/>
          </w:tcPr>
          <w:p>
            <w:r>
              <w:t>—</w:t>
            </w:r>
          </w:p>
        </w:tc>
      </w:tr>
      <w:tr>
        <w:tc>
          <w:tcPr>
            <w:tcW w:type="dxa" w:w="1392"/>
          </w:tcPr>
          <w:p>
            <w:r>
              <w:t>Robert Bosch Stiftung</w:t>
            </w:r>
          </w:p>
        </w:tc>
        <w:tc>
          <w:tcPr>
            <w:tcW w:type="dxa" w:w="1392"/>
          </w:tcPr>
          <w:p>
            <w:r>
              <w:t>Foundation</w:t>
            </w:r>
          </w:p>
        </w:tc>
        <w:tc>
          <w:tcPr>
            <w:tcW w:type="dxa" w:w="1392"/>
          </w:tcPr>
          <w:p>
            <w:r>
              <w:t>€50\u201385k</w:t>
            </w:r>
          </w:p>
        </w:tc>
        <w:tc>
          <w:tcPr>
            <w:tcW w:type="dxa" w:w="1392"/>
          </w:tcPr>
          <w:p>
            <w:r>
              <w:t>Researching contact</w:t>
            </w:r>
          </w:p>
        </w:tc>
        <w:tc>
          <w:tcPr>
            <w:tcW w:type="dxa" w:w="1392"/>
          </w:tcPr>
          <w:p>
            <w:r>
              <w:t>Find prog. officer</w:t>
            </w:r>
          </w:p>
        </w:tc>
        <w:tc>
          <w:tcPr>
            <w:tcW w:type="dxa" w:w="1392"/>
          </w:tcPr>
          <w:p>
            <w:r>
              <w:t>Jaya</w:t>
            </w:r>
          </w:p>
        </w:tc>
        <w:tc>
          <w:tcPr>
            <w:tcW w:type="dxa" w:w="1392"/>
          </w:tcPr>
          <w:p>
            <w:r>
              <w:t>—</w:t>
            </w:r>
          </w:p>
        </w:tc>
      </w:tr>
      <w:tr>
        <w:tc>
          <w:tcPr>
            <w:tcW w:type="dxa" w:w="1392"/>
          </w:tcPr>
          <w:p>
            <w:r>
              <w:t>Stiftung Mercator</w:t>
            </w:r>
          </w:p>
        </w:tc>
        <w:tc>
          <w:tcPr>
            <w:tcW w:type="dxa" w:w="1392"/>
          </w:tcPr>
          <w:p>
            <w:r>
              <w:t>Foundation</w:t>
            </w:r>
          </w:p>
        </w:tc>
        <w:tc>
          <w:tcPr>
            <w:tcW w:type="dxa" w:w="1392"/>
          </w:tcPr>
          <w:p>
            <w:r>
              <w:t>€85\u2013150k</w:t>
            </w:r>
          </w:p>
        </w:tc>
        <w:tc>
          <w:tcPr>
            <w:tcW w:type="dxa" w:w="1392"/>
          </w:tcPr>
          <w:p>
            <w:r>
              <w:t>Not started</w:t>
            </w:r>
          </w:p>
        </w:tc>
        <w:tc>
          <w:tcPr>
            <w:tcW w:type="dxa" w:w="1392"/>
          </w:tcPr>
          <w:p>
            <w:r>
              <w:t>—</w:t>
            </w:r>
          </w:p>
        </w:tc>
        <w:tc>
          <w:tcPr>
            <w:tcW w:type="dxa" w:w="1392"/>
          </w:tcPr>
          <w:p>
            <w:r>
              <w:t>—</w:t>
            </w:r>
          </w:p>
        </w:tc>
        <w:tc>
          <w:tcPr>
            <w:tcW w:type="dxa" w:w="1392"/>
          </w:tcPr>
          <w:p>
            <w:r>
              <w:t>—</w:t>
            </w:r>
          </w:p>
        </w:tc>
      </w:tr>
      <w:tr>
        <w:tc>
          <w:tcPr>
            <w:tcW w:type="dxa" w:w="1392"/>
          </w:tcPr>
          <w:p>
            <w:r>
              <w:t>BW Stiftung</w:t>
            </w:r>
          </w:p>
        </w:tc>
        <w:tc>
          <w:tcPr>
            <w:tcW w:type="dxa" w:w="1392"/>
          </w:tcPr>
          <w:p>
            <w:r>
              <w:t>Foundation</w:t>
            </w:r>
          </w:p>
        </w:tc>
        <w:tc>
          <w:tcPr>
            <w:tcW w:type="dxa" w:w="1392"/>
          </w:tcPr>
          <w:p>
            <w:r>
              <w:t>€85\u2013150k</w:t>
            </w:r>
          </w:p>
        </w:tc>
        <w:tc>
          <w:tcPr>
            <w:tcW w:type="dxa" w:w="1392"/>
          </w:tcPr>
          <w:p>
            <w:r>
              <w:t>Not started</w:t>
            </w:r>
          </w:p>
        </w:tc>
        <w:tc>
          <w:tcPr>
            <w:tcW w:type="dxa" w:w="1392"/>
          </w:tcPr>
          <w:p>
            <w:r>
              <w:t>Check current call</w:t>
            </w:r>
          </w:p>
        </w:tc>
        <w:tc>
          <w:tcPr>
            <w:tcW w:type="dxa" w:w="1392"/>
          </w:tcPr>
          <w:p>
            <w:r>
              <w:t>—</w:t>
            </w:r>
          </w:p>
        </w:tc>
        <w:tc>
          <w:tcPr>
            <w:tcW w:type="dxa" w:w="1392"/>
          </w:tcPr>
          <w:p>
            <w:r>
              <w:t>—</w:t>
            </w:r>
          </w:p>
        </w:tc>
      </w:tr>
      <w:tr>
        <w:tc>
          <w:tcPr>
            <w:tcW w:type="dxa" w:w="1392"/>
          </w:tcPr>
          <w:p>
            <w:r>
              <w:t>AMIF national (BAMF)</w:t>
            </w:r>
          </w:p>
        </w:tc>
        <w:tc>
          <w:tcPr>
            <w:tcW w:type="dxa" w:w="1392"/>
          </w:tcPr>
          <w:p>
            <w:r>
              <w:t>Public</w:t>
            </w:r>
          </w:p>
        </w:tc>
        <w:tc>
          <w:tcPr>
            <w:tcW w:type="dxa" w:w="1392"/>
          </w:tcPr>
          <w:p>
            <w:r>
              <w:t>€100\u2013250k</w:t>
            </w:r>
          </w:p>
        </w:tc>
        <w:tc>
          <w:tcPr>
            <w:tcW w:type="dxa" w:w="1392"/>
          </w:tcPr>
          <w:p>
            <w:r>
              <w:t>Not started</w:t>
            </w:r>
          </w:p>
        </w:tc>
        <w:tc>
          <w:tcPr>
            <w:tcW w:type="dxa" w:w="1392"/>
          </w:tcPr>
          <w:p>
            <w:r>
              <w:t>Email regional coordinator</w:t>
            </w:r>
          </w:p>
        </w:tc>
        <w:tc>
          <w:tcPr>
            <w:tcW w:type="dxa" w:w="1392"/>
          </w:tcPr>
          <w:p>
            <w:r>
              <w:t>—</w:t>
            </w:r>
          </w:p>
        </w:tc>
        <w:tc>
          <w:tcPr>
            <w:tcW w:type="dxa" w:w="1392"/>
          </w:tcPr>
          <w:p>
            <w:r>
              <w:t>—</w:t>
            </w:r>
          </w:p>
        </w:tc>
      </w:tr>
      <w:tr>
        <w:tc>
          <w:tcPr>
            <w:tcW w:type="dxa" w:w="1392"/>
          </w:tcPr>
          <w:p>
            <w:r>
              <w:t>ESF+ BW (Min. f. Soziales)</w:t>
            </w:r>
          </w:p>
        </w:tc>
        <w:tc>
          <w:tcPr>
            <w:tcW w:type="dxa" w:w="1392"/>
          </w:tcPr>
          <w:p>
            <w:r>
              <w:t>Public</w:t>
            </w:r>
          </w:p>
        </w:tc>
        <w:tc>
          <w:tcPr>
            <w:tcW w:type="dxa" w:w="1392"/>
          </w:tcPr>
          <w:p>
            <w:r>
              <w:t>€50\u2013150k</w:t>
            </w:r>
          </w:p>
        </w:tc>
        <w:tc>
          <w:tcPr>
            <w:tcW w:type="dxa" w:w="1392"/>
          </w:tcPr>
          <w:p>
            <w:r>
              <w:t>Not started</w:t>
            </w:r>
          </w:p>
        </w:tc>
        <w:tc>
          <w:tcPr>
            <w:tcW w:type="dxa" w:w="1392"/>
          </w:tcPr>
          <w:p>
            <w:r>
              <w:t>Check current call</w:t>
            </w:r>
          </w:p>
        </w:tc>
        <w:tc>
          <w:tcPr>
            <w:tcW w:type="dxa" w:w="1392"/>
          </w:tcPr>
          <w:p>
            <w:r>
              <w:t>—</w:t>
            </w:r>
          </w:p>
        </w:tc>
        <w:tc>
          <w:tcPr>
            <w:tcW w:type="dxa" w:w="1392"/>
          </w:tcPr>
          <w:p>
            <w:r>
              <w:t>—</w:t>
            </w:r>
          </w:p>
        </w:tc>
      </w:tr>
    </w:tbl>
    <w:p/>
    <w:p>
      <w:pPr>
        <w:pStyle w:val="Heading1"/>
      </w:pPr>
      <w:r>
        <w:t>Quarterly cadence (after the first 3 months)</w:t>
      </w:r>
    </w:p>
    <w:p>
      <w:pPr>
        <w:pStyle w:val="ListBullet"/>
      </w:pPr>
      <w:r>
        <w:t>Submit at least 1 funder application per month, on average.</w:t>
      </w:r>
    </w:p>
    <w:p>
      <w:pPr>
        <w:pStyle w:val="ListBullet"/>
      </w:pPr>
      <w:r>
        <w:t>Run 1 user-research touch per quarter (5 short interviews).</w:t>
      </w:r>
    </w:p>
    <w:p>
      <w:pPr>
        <w:pStyle w:val="ListBullet"/>
      </w:pPr>
      <w:r>
        <w:t>Publish quarterly impact update — even before any grant lands. Builds credibility.</w:t>
      </w:r>
    </w:p>
    <w:p>
      <w:pPr>
        <w:pStyle w:val="ListBullet"/>
      </w:pPr>
      <w:r>
        <w:t>Refresh the deck KPIs with actual numbers each quarter. The deck must be alive, not frozen.</w:t>
      </w:r>
    </w:p>
    <w:p>
      <w:pPr>
        <w:pStyle w:val="ListBullet"/>
      </w:pPr>
      <w:r>
        <w:t>Keep an audit-ready folder: receipts, contracts, timesheets, decisions.</w:t>
      </w:r>
    </w:p>
    <w:p>
      <w:pPr>
        <w:pStyle w:val="Heading1"/>
      </w:pPr>
      <w:r>
        <w:t>What success looks like at the 6-month mark</w:t>
      </w:r>
    </w:p>
    <w:p>
      <w:r>
        <w:rPr>
          <w:b/>
          <w:sz w:val="24"/>
        </w:rPr>
        <w:t xml:space="preserve">☐  </w:t>
      </w:r>
      <w:r>
        <w:rPr>
          <w:sz w:val="22"/>
        </w:rPr>
        <w:t>Legal entity (gUG / e.V. / gGmbH) registered with confirmed Gemeinnützigkeit.</w:t>
      </w:r>
    </w:p>
    <w:p>
      <w:r>
        <w:rPr>
          <w:b/>
          <w:sz w:val="24"/>
        </w:rPr>
        <w:t xml:space="preserve">☐  </w:t>
      </w:r>
      <w:r>
        <w:rPr>
          <w:sz w:val="22"/>
        </w:rPr>
        <w:t>Platform live in production with 30+ communities, 100+ resources.</w:t>
      </w:r>
    </w:p>
    <w:p>
      <w:r>
        <w:rPr>
          <w:b/>
          <w:sz w:val="24"/>
        </w:rPr>
        <w:t xml:space="preserve">☐  </w:t>
      </w:r>
      <w:r>
        <w:rPr>
          <w:sz w:val="22"/>
        </w:rPr>
        <w:t>At least 2 Letters of Support in hand (city or institutional).</w:t>
      </w:r>
    </w:p>
    <w:p>
      <w:r>
        <w:rPr>
          <w:b/>
          <w:sz w:val="24"/>
        </w:rPr>
        <w:t xml:space="preserve">☐  </w:t>
      </w:r>
      <w:r>
        <w:rPr>
          <w:sz w:val="22"/>
        </w:rPr>
        <w:t>At least 1 foundation cheque committed (€10–85k).</w:t>
      </w:r>
    </w:p>
    <w:p>
      <w:r>
        <w:rPr>
          <w:b/>
          <w:sz w:val="24"/>
        </w:rPr>
        <w:t xml:space="preserve">☐  </w:t>
      </w:r>
      <w:r>
        <w:rPr>
          <w:sz w:val="22"/>
        </w:rPr>
        <w:t>At least 1 corporate sponsorship committed (€5–25k).</w:t>
      </w:r>
    </w:p>
    <w:p>
      <w:r>
        <w:rPr>
          <w:b/>
          <w:sz w:val="24"/>
        </w:rPr>
        <w:t xml:space="preserve">☐  </w:t>
      </w:r>
      <w:r>
        <w:rPr>
          <w:sz w:val="22"/>
        </w:rPr>
        <w:t>AMIF or ESF+ BW application submitted to the next available call.</w:t>
      </w:r>
    </w:p>
    <w:p>
      <w:r>
        <w:rPr>
          <w:b/>
          <w:sz w:val="24"/>
        </w:rPr>
        <w:t xml:space="preserve">☐  </w:t>
      </w:r>
      <w:r>
        <w:rPr>
          <w:sz w:val="22"/>
        </w:rPr>
        <w:t>Quarterly impact report #1 published with real numbers.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0FF"/>
          </w:tcPr>
          <w:p>
            <w:r>
              <w:rPr>
                <w:b/>
                <w:color w:val="0B3D91"/>
                <w:sz w:val="24"/>
              </w:rPr>
              <w:t>Final word</w:t>
              <w:br/>
            </w:r>
            <w:r>
              <w:rPr>
                <w:sz w:val="22"/>
              </w:rPr>
              <w:t>These docs are tools, not the work. The work is conversations: with city officials, programme officers, community leaders, corporate CSR contacts. The docs make those conversations 10x faster and 10x more credible. Ship the conversations.</w:t>
            </w:r>
          </w:p>
        </w:tc>
      </w:tr>
    </w:tbl>
    <w:p/>
    <w:p/>
    <w:p>
      <w:r>
        <w:rPr>
          <w:i/>
          <w:color w:val="555555"/>
          <w:sz w:val="18"/>
        </w:rPr>
        <w:t>Working action plan for the IndLokal founding team. Update weekly. Programme names, contacts and call schedules change frequently — verify on the EU Funding &amp; Tenders Portal, BAMF, L-Bank BW and each funder's site before applying.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3D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3D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3D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