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52"/>
        </w:rPr>
        <w:t>IndLokal × EU/DE Grant Landscape</w:t>
      </w:r>
    </w:p>
    <w:p>
      <w:pPr>
        <w:jc w:val="center"/>
      </w:pPr>
      <w:r>
        <w:rPr>
          <w:i/>
          <w:color w:val="555555"/>
          <w:sz w:val="24"/>
        </w:rPr>
        <w:t>Strategic fit memo — where we belong, what to fix, where to apply, how to apply</w:t>
      </w:r>
    </w:p>
    <w:p>
      <w:pPr>
        <w:jc w:val="center"/>
      </w:pPr>
      <w:r>
        <w:rPr>
          <w:color w:val="FF8C00"/>
          <w:sz w:val="26"/>
        </w:rPr>
        <w:t>— ★ —</w:t>
      </w:r>
    </w:p>
    <w:p/>
    <w:p>
      <w:pPr>
        <w:pStyle w:val="Heading1"/>
      </w:pPr>
      <w:r>
        <w:t>1. The honest one-line fit</w:t>
      </w:r>
    </w:p>
    <w:p>
      <w:r>
        <w:t>IndLokal is digital integration infrastructure for third-country nationals (TCNs) in Germany. That is exactly the language of one EU programme (AMIF) and a stack of German federal, Land and foundation pots. It is not a research, deep-tech or pan-European consortium project — so most of the headline EU programmes (Horizon, EIC, Digital Europe) are a poor fit. Don't chase them.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C"/>
          </w:tcPr>
          <w:p>
            <w:r>
              <w:rPr>
                <w:b/>
                <w:color w:val="0B3D91"/>
                <w:sz w:val="24"/>
              </w:rPr>
              <w:t>Bottom line</w:t>
              <w:br/>
            </w:r>
            <w:r>
              <w:rPr>
                <w:sz w:val="22"/>
              </w:rPr>
              <w:t>Optimise for AMIF, ESF+ Baden-Württemberg, Land BW integration funds, Stadt Stuttgart, and the Stuttgart-region foundations (Mercator, Bosch, BW Stiftung). Treat everything else as opportunistic.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E8E0"/>
          </w:tcPr>
          <w:p>
            <w:r>
              <w:rPr>
                <w:b/>
                <w:color w:val="0B3D91"/>
                <w:sz w:val="24"/>
              </w:rPr>
              <w:t>Reality check before reading on</w:t>
              <w:br/>
            </w:r>
            <w:r>
              <w:rPr>
                <w:sz w:val="22"/>
              </w:rPr>
              <w:t>Status today: platform built, in private beta, soft public launch within ~4 weeks. No legal entity yet (still deciding between gUG, e.V., gGmbH). No external capital, no revenue. This limits what we can apply for in month 1–2 — most public funders and foundations require a legal applicant. The plan below sequences entity setup and soft launch BEFORE the bigger asks.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C"/>
          </w:tcPr>
          <w:p>
            <w:r>
              <w:rPr>
                <w:b/>
                <w:color w:val="0B3D91"/>
                <w:sz w:val="24"/>
              </w:rPr>
              <w:t>How to think about the €150k headline number</w:t>
              <w:br/>
            </w:r>
            <w:r>
              <w:rPr>
                <w:sz w:val="22"/>
              </w:rPr>
              <w:t>No Stuttgart-region foundation will hand a first-time grantee €150k in one cheque. The realistic path is either (a) one large AMIF / ESF+ award, or (b) stacking ~3 smaller awards: e.g. €15k Stadt Stuttgart + €50k Bosch + €85k BW Stiftung = €150k. The deck shows three explicit tiers — €85k lean (single funder), €150k full (single large or stacked), €250k Region Stuttgart (Stuttgart + Sindelfingen + Waiblingen).</w:t>
            </w:r>
          </w:p>
        </w:tc>
      </w:tr>
    </w:tbl>
    <w:p/>
    <w:p>
      <w:pPr>
        <w:pStyle w:val="Heading1"/>
      </w:pPr>
      <w:r>
        <w:t>2. Programme-by-programme fit</w:t>
      </w:r>
    </w:p>
    <w:p>
      <w:pPr>
        <w:pStyle w:val="Heading2"/>
      </w:pPr>
      <w:r>
        <w:t>Tier A — apply here first (high fit, realistic to win)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Programme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Fit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Typical size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1949"/>
          </w:tcPr>
          <w:p>
            <w:r>
              <w:t>AMIF — National Programme DE</w:t>
            </w:r>
          </w:p>
        </w:tc>
        <w:tc>
          <w:tcPr>
            <w:tcW w:type="dxa" w:w="1949"/>
          </w:tcPr>
          <w:p>
            <w:r>
              <w:t>BAMF</w:t>
            </w:r>
          </w:p>
        </w:tc>
        <w:tc>
          <w:tcPr>
            <w:tcW w:type="dxa" w:w="1949"/>
          </w:tcPr>
          <w:p>
            <w:r>
              <w:t>★★★★★</w:t>
            </w:r>
          </w:p>
        </w:tc>
        <w:tc>
          <w:tcPr>
            <w:tcW w:type="dxa" w:w="1949"/>
          </w:tcPr>
          <w:p>
            <w:r>
              <w:t>€100k–€500k</w:t>
            </w:r>
          </w:p>
        </w:tc>
        <w:tc>
          <w:tcPr>
            <w:tcW w:type="dxa" w:w="1949"/>
          </w:tcPr>
          <w:p>
            <w:r>
              <w:t>TCN integration is the Specific Objective. Multi-language + civic participation + public-sector partnership = textbook AMIF.</w:t>
            </w:r>
          </w:p>
        </w:tc>
      </w:tr>
      <w:tr>
        <w:tc>
          <w:tcPr>
            <w:tcW w:type="dxa" w:w="1949"/>
          </w:tcPr>
          <w:p>
            <w:r>
              <w:t>ESF+ Baden-Württemberg</w:t>
            </w:r>
          </w:p>
        </w:tc>
        <w:tc>
          <w:tcPr>
            <w:tcW w:type="dxa" w:w="1949"/>
          </w:tcPr>
          <w:p>
            <w:r>
              <w:t>Min. f. Soziales BW</w:t>
            </w:r>
          </w:p>
        </w:tc>
        <w:tc>
          <w:tcPr>
            <w:tcW w:type="dxa" w:w="1949"/>
          </w:tcPr>
          <w:p>
            <w:r>
              <w:t>★★★★★</w:t>
            </w:r>
          </w:p>
        </w:tc>
        <w:tc>
          <w:tcPr>
            <w:tcW w:type="dxa" w:w="1949"/>
          </w:tcPr>
          <w:p>
            <w:r>
              <w:t>€50k–€300k</w:t>
            </w:r>
          </w:p>
        </w:tc>
        <w:tc>
          <w:tcPr>
            <w:tcW w:type="dxa" w:w="1949"/>
          </w:tcPr>
          <w:p>
            <w:r>
              <w:t>Social inclusion, integration, digital access. Land-level decisions, closer to home.</w:t>
            </w:r>
          </w:p>
        </w:tc>
      </w:tr>
      <w:tr>
        <w:tc>
          <w:tcPr>
            <w:tcW w:type="dxa" w:w="1949"/>
          </w:tcPr>
          <w:p>
            <w:r>
              <w:t>Land BW Integrationsförderung / 'Gemeinsam in Vielfalt III'</w:t>
            </w:r>
          </w:p>
        </w:tc>
        <w:tc>
          <w:tcPr>
            <w:tcW w:type="dxa" w:w="1949"/>
          </w:tcPr>
          <w:p>
            <w:r>
              <w:t>Min. f. Soziales BW</w:t>
            </w:r>
          </w:p>
        </w:tc>
        <w:tc>
          <w:tcPr>
            <w:tcW w:type="dxa" w:w="1949"/>
          </w:tcPr>
          <w:p>
            <w:r>
              <w:t>★★★★★</w:t>
            </w:r>
          </w:p>
        </w:tc>
        <w:tc>
          <w:tcPr>
            <w:tcW w:type="dxa" w:w="1949"/>
          </w:tcPr>
          <w:p>
            <w:r>
              <w:t>€20k–€150k</w:t>
            </w:r>
          </w:p>
        </w:tc>
        <w:tc>
          <w:tcPr>
            <w:tcW w:type="dxa" w:w="1949"/>
          </w:tcPr>
          <w:p>
            <w:r>
              <w:t>Direct integration funding for projects in BW cities.</w:t>
            </w:r>
          </w:p>
        </w:tc>
      </w:tr>
      <w:tr>
        <w:tc>
          <w:tcPr>
            <w:tcW w:type="dxa" w:w="1949"/>
          </w:tcPr>
          <w:p>
            <w:r>
              <w:t>Stadt Stuttgart Integrationsfonds</w:t>
            </w:r>
          </w:p>
        </w:tc>
        <w:tc>
          <w:tcPr>
            <w:tcW w:type="dxa" w:w="1949"/>
          </w:tcPr>
          <w:p>
            <w:r>
              <w:t>Stadt Stuttgart</w:t>
            </w:r>
          </w:p>
        </w:tc>
        <w:tc>
          <w:tcPr>
            <w:tcW w:type="dxa" w:w="1949"/>
          </w:tcPr>
          <w:p>
            <w:r>
              <w:t>★★★★★</w:t>
            </w:r>
          </w:p>
        </w:tc>
        <w:tc>
          <w:tcPr>
            <w:tcW w:type="dxa" w:w="1949"/>
          </w:tcPr>
          <w:p>
            <w:r>
              <w:t>€5k–€50k</w:t>
            </w:r>
          </w:p>
        </w:tc>
        <w:tc>
          <w:tcPr>
            <w:tcW w:type="dxa" w:w="1949"/>
          </w:tcPr>
          <w:p>
            <w:r>
              <w:t>Small but fast. Builds the local credibility you need for bigger asks. Often the first 'yes'.</w:t>
            </w:r>
          </w:p>
        </w:tc>
      </w:tr>
      <w:tr>
        <w:tc>
          <w:tcPr>
            <w:tcW w:type="dxa" w:w="1949"/>
          </w:tcPr>
          <w:p>
            <w:r>
              <w:t>Stiftung Mercator — Teilhabe &amp; Zusammenhalt</w:t>
            </w:r>
          </w:p>
        </w:tc>
        <w:tc>
          <w:tcPr>
            <w:tcW w:type="dxa" w:w="1949"/>
          </w:tcPr>
          <w:p>
            <w:r>
              <w:t>Foundation</w:t>
            </w:r>
          </w:p>
        </w:tc>
        <w:tc>
          <w:tcPr>
            <w:tcW w:type="dxa" w:w="1949"/>
          </w:tcPr>
          <w:p>
            <w:r>
              <w:t>★★★★☆</w:t>
            </w:r>
          </w:p>
        </w:tc>
        <w:tc>
          <w:tcPr>
            <w:tcW w:type="dxa" w:w="1949"/>
          </w:tcPr>
          <w:p>
            <w:r>
              <w:t>€100k–€500k+</w:t>
            </w:r>
          </w:p>
        </w:tc>
        <w:tc>
          <w:tcPr>
            <w:tcW w:type="dxa" w:w="1949"/>
          </w:tcPr>
          <w:p>
            <w:r>
              <w:t>Already in the deck. Strong fit, multi-year possible.</w:t>
            </w:r>
          </w:p>
        </w:tc>
      </w:tr>
      <w:tr>
        <w:tc>
          <w:tcPr>
            <w:tcW w:type="dxa" w:w="1949"/>
          </w:tcPr>
          <w:p>
            <w:r>
              <w:t>Robert Bosch Stiftung — Migration &amp; Inklusion</w:t>
            </w:r>
          </w:p>
        </w:tc>
        <w:tc>
          <w:tcPr>
            <w:tcW w:type="dxa" w:w="1949"/>
          </w:tcPr>
          <w:p>
            <w:r>
              <w:t>Foundation</w:t>
            </w:r>
          </w:p>
        </w:tc>
        <w:tc>
          <w:tcPr>
            <w:tcW w:type="dxa" w:w="1949"/>
          </w:tcPr>
          <w:p>
            <w:r>
              <w:t>★★★★☆</w:t>
            </w:r>
          </w:p>
        </w:tc>
        <w:tc>
          <w:tcPr>
            <w:tcW w:type="dxa" w:w="1949"/>
          </w:tcPr>
          <w:p>
            <w:r>
              <w:t>€50k–€300k</w:t>
            </w:r>
          </w:p>
        </w:tc>
        <w:tc>
          <w:tcPr>
            <w:tcW w:type="dxa" w:w="1949"/>
          </w:tcPr>
          <w:p>
            <w:r>
              <w:t>Stuttgart-headquartered. Local angle helps.</w:t>
            </w:r>
          </w:p>
        </w:tc>
      </w:tr>
      <w:tr>
        <w:tc>
          <w:tcPr>
            <w:tcW w:type="dxa" w:w="1949"/>
          </w:tcPr>
          <w:p>
            <w:r>
              <w:t>BW Stiftung — Integration / Gesellschaft &amp; Kultur</w:t>
            </w:r>
          </w:p>
        </w:tc>
        <w:tc>
          <w:tcPr>
            <w:tcW w:type="dxa" w:w="1949"/>
          </w:tcPr>
          <w:p>
            <w:r>
              <w:t>Foundation</w:t>
            </w:r>
          </w:p>
        </w:tc>
        <w:tc>
          <w:tcPr>
            <w:tcW w:type="dxa" w:w="1949"/>
          </w:tcPr>
          <w:p>
            <w:r>
              <w:t>★★★★☆</w:t>
            </w:r>
          </w:p>
        </w:tc>
        <w:tc>
          <w:tcPr>
            <w:tcW w:type="dxa" w:w="1949"/>
          </w:tcPr>
          <w:p>
            <w:r>
              <w:t>€30k–€200k</w:t>
            </w:r>
          </w:p>
        </w:tc>
        <w:tc>
          <w:tcPr>
            <w:tcW w:type="dxa" w:w="1949"/>
          </w:tcPr>
          <w:p>
            <w:r>
              <w:t>Land-level foundation, prefers BW projects.</w:t>
            </w:r>
          </w:p>
        </w:tc>
      </w:tr>
    </w:tbl>
    <w:p/>
    <w:p>
      <w:pPr>
        <w:pStyle w:val="Heading2"/>
      </w:pPr>
      <w:r>
        <w:t>Tier B — apply selectively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Programme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Fit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249"/>
          </w:tcPr>
          <w:p>
            <w:r>
              <w:t>CERV (Citizens, Equality, Rights and Values)</w:t>
            </w:r>
          </w:p>
        </w:tc>
        <w:tc>
          <w:tcPr>
            <w:tcW w:type="dxa" w:w="3249"/>
          </w:tcPr>
          <w:p>
            <w:r>
              <w:t>★★★☆☆</w:t>
            </w:r>
          </w:p>
        </w:tc>
        <w:tc>
          <w:tcPr>
            <w:tcW w:type="dxa" w:w="3249"/>
          </w:tcPr>
          <w:p>
            <w:r>
              <w:t>EU strand on Union Values / civic engagement. Usually needs consortium. Frame: civic participation of new EU residents.</w:t>
            </w:r>
          </w:p>
        </w:tc>
      </w:tr>
      <w:tr>
        <w:tc>
          <w:tcPr>
            <w:tcW w:type="dxa" w:w="3249"/>
          </w:tcPr>
          <w:p>
            <w:r>
              <w:t>Prototype Fund (BMBF + OKF)</w:t>
            </w:r>
          </w:p>
        </w:tc>
        <w:tc>
          <w:tcPr>
            <w:tcW w:type="dxa" w:w="3249"/>
          </w:tcPr>
          <w:p>
            <w:r>
              <w:t>★★★☆☆</w:t>
            </w:r>
          </w:p>
        </w:tc>
        <w:tc>
          <w:tcPr>
            <w:tcW w:type="dxa" w:w="3249"/>
          </w:tcPr>
          <w:p>
            <w:r>
              <w:t>€95k for open-source civic tech. Requires releasing a meaningful module as OSS.</w:t>
            </w:r>
          </w:p>
        </w:tc>
      </w:tr>
      <w:tr>
        <w:tc>
          <w:tcPr>
            <w:tcW w:type="dxa" w:w="3249"/>
          </w:tcPr>
          <w:p>
            <w:r>
              <w:t>Hertie Stiftung — Demokratie stärken</w:t>
            </w:r>
          </w:p>
        </w:tc>
        <w:tc>
          <w:tcPr>
            <w:tcW w:type="dxa" w:w="3249"/>
          </w:tcPr>
          <w:p>
            <w:r>
              <w:t>★★★☆☆</w:t>
            </w:r>
          </w:p>
        </w:tc>
        <w:tc>
          <w:tcPr>
            <w:tcW w:type="dxa" w:w="3249"/>
          </w:tcPr>
          <w:p>
            <w:r>
              <w:t>Civic participation angle.</w:t>
            </w:r>
          </w:p>
        </w:tc>
      </w:tr>
      <w:tr>
        <w:tc>
          <w:tcPr>
            <w:tcW w:type="dxa" w:w="3249"/>
          </w:tcPr>
          <w:p>
            <w:r>
              <w:t>Schöpflin Stiftung</w:t>
            </w:r>
          </w:p>
        </w:tc>
        <w:tc>
          <w:tcPr>
            <w:tcW w:type="dxa" w:w="3249"/>
          </w:tcPr>
          <w:p>
            <w:r>
              <w:t>★★★☆☆</w:t>
            </w:r>
          </w:p>
        </w:tc>
        <w:tc>
          <w:tcPr>
            <w:tcW w:type="dxa" w:w="3249"/>
          </w:tcPr>
          <w:p>
            <w:r>
              <w:t>Civil society digital infrastructure.</w:t>
            </w:r>
          </w:p>
        </w:tc>
      </w:tr>
      <w:tr>
        <w:tc>
          <w:tcPr>
            <w:tcW w:type="dxa" w:w="3249"/>
          </w:tcPr>
          <w:p>
            <w:r>
              <w:t>Allianz Foundation</w:t>
            </w:r>
          </w:p>
        </w:tc>
        <w:tc>
          <w:tcPr>
            <w:tcW w:type="dxa" w:w="3249"/>
          </w:tcPr>
          <w:p>
            <w:r>
              <w:t>★★★☆☆</w:t>
            </w:r>
          </w:p>
        </w:tc>
        <w:tc>
          <w:tcPr>
            <w:tcW w:type="dxa" w:w="3249"/>
          </w:tcPr>
          <w:p>
            <w:r>
              <w:t>EU-wide, solidarity / pluralism.</w:t>
            </w:r>
          </w:p>
        </w:tc>
      </w:tr>
      <w:tr>
        <w:tc>
          <w:tcPr>
            <w:tcW w:type="dxa" w:w="3249"/>
          </w:tcPr>
          <w:p>
            <w:r>
              <w:t>Körber-Stiftung</w:t>
            </w:r>
          </w:p>
        </w:tc>
        <w:tc>
          <w:tcPr>
            <w:tcW w:type="dxa" w:w="3249"/>
          </w:tcPr>
          <w:p>
            <w:r>
              <w:t>★★★☆☆</w:t>
            </w:r>
          </w:p>
        </w:tc>
        <w:tc>
          <w:tcPr>
            <w:tcW w:type="dxa" w:w="3249"/>
          </w:tcPr>
          <w:p>
            <w:r>
              <w:t>Migration &amp; city-society projects (Hamburg-leaning, but open).</w:t>
            </w:r>
          </w:p>
        </w:tc>
      </w:tr>
      <w:tr>
        <w:tc>
          <w:tcPr>
            <w:tcW w:type="dxa" w:w="3249"/>
          </w:tcPr>
          <w:p>
            <w:r>
              <w:t>Google.org Impact Challenge / Meta Community Accelerator</w:t>
            </w:r>
          </w:p>
        </w:tc>
        <w:tc>
          <w:tcPr>
            <w:tcW w:type="dxa" w:w="3249"/>
          </w:tcPr>
          <w:p>
            <w:r>
              <w:t>★★★☆☆</w:t>
            </w:r>
          </w:p>
        </w:tc>
        <w:tc>
          <w:tcPr>
            <w:tcW w:type="dxa" w:w="3249"/>
          </w:tcPr>
          <w:p>
            <w:r>
              <w:t>Need nonprofit status (gGmbH or e.V.) for most cycles.</w:t>
            </w:r>
          </w:p>
        </w:tc>
      </w:tr>
    </w:tbl>
    <w:p/>
    <w:p>
      <w:pPr>
        <w:pStyle w:val="Heading2"/>
      </w:pPr>
      <w:r>
        <w:t>Tier C — wrong fit, do not apply</w:t>
      </w:r>
    </w:p>
    <w:p>
      <w:pPr>
        <w:pStyle w:val="ListBullet"/>
      </w:pPr>
      <w:r>
        <w:t>EIC Accelerator / Pathfinder / Transition — deep-tech only. Will be desk-rejected.</w:t>
      </w:r>
    </w:p>
    <w:p>
      <w:pPr>
        <w:pStyle w:val="ListBullet"/>
      </w:pPr>
      <w:r>
        <w:t>Horizon Europe Pillar 2 — needs 3+ partners across 3+ countries; research focus; novelty in method, not application.</w:t>
      </w:r>
    </w:p>
    <w:p>
      <w:pPr>
        <w:pStyle w:val="ListBullet"/>
      </w:pPr>
      <w:r>
        <w:t>Digital Europe — EU digital sovereignty (HPC, AI, cyber, EDIHs). Wrong space.</w:t>
      </w:r>
    </w:p>
    <w:p>
      <w:pPr>
        <w:pStyle w:val="ListBullet"/>
      </w:pPr>
      <w:r>
        <w:t>CEF Digital — telecom / cross-border infrastructure. Wrong scale.</w:t>
      </w:r>
    </w:p>
    <w:p>
      <w:pPr>
        <w:pStyle w:val="Heading1"/>
      </w:pPr>
      <w:r>
        <w:t>3. Things to check &amp; fix BEFORE applying</w:t>
      </w:r>
    </w:p>
    <w:p>
      <w:pPr>
        <w:pStyle w:val="Heading2"/>
      </w:pPr>
      <w:r>
        <w:t>3.1 Legal form is your biggest single lever</w:t>
      </w:r>
    </w:p>
    <w:p>
      <w:r>
        <w:t>A standard GmbH is fine for some funders (Bosch, Mercator, AMIF can fund GmbHs), but locks you out of others:</w:t>
      </w:r>
    </w:p>
    <w:p>
      <w:pPr>
        <w:pStyle w:val="ListBullet"/>
      </w:pPr>
      <w:r>
        <w:t>Google Ad Grants (~€10k/month free Google Ads) — needs registered nonprofit.</w:t>
      </w:r>
    </w:p>
    <w:p>
      <w:pPr>
        <w:pStyle w:val="ListBullet"/>
      </w:pPr>
      <w:r>
        <w:t>Google Workspace / Microsoft / Apple / GitHub nonprofit programmes.</w:t>
      </w:r>
    </w:p>
    <w:p>
      <w:pPr>
        <w:pStyle w:val="ListBullet"/>
      </w:pPr>
      <w:r>
        <w:t>Many Land programmes that require gemeinnützig status.</w:t>
      </w:r>
    </w:p>
    <w:p>
      <w:pPr>
        <w:pStyle w:val="ListBullet"/>
      </w:pPr>
      <w:r>
        <w:t>Reduced co-financing rates in several public calls.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C"/>
          </w:tcPr>
          <w:p>
            <w:r>
              <w:rPr>
                <w:b/>
                <w:color w:val="0B3D91"/>
                <w:sz w:val="24"/>
              </w:rPr>
              <w:t>Recommended action</w:t>
              <w:br/>
            </w:r>
            <w:r>
              <w:rPr>
                <w:sz w:val="22"/>
              </w:rPr>
              <w:t>Set up a parallel gGmbH or e.V. that receives grant funding and contracts technology services from the GmbH at arm's length. Cost ~€2–5k, a few weeks via a Steuerberater specialised in Gemeinnützigkeit. Many social ventures use this exact structure.</w:t>
            </w:r>
          </w:p>
        </w:tc>
      </w:tr>
    </w:tbl>
    <w:p/>
    <w:p>
      <w:pPr>
        <w:pStyle w:val="Heading2"/>
      </w:pPr>
      <w:r>
        <w:t>3.2 Co-financing &amp; cash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EU/funder share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Co-financing</w:t>
            </w:r>
          </w:p>
        </w:tc>
      </w:tr>
      <w:tr>
        <w:tc>
          <w:tcPr>
            <w:tcW w:type="dxa" w:w="3249"/>
          </w:tcPr>
          <w:p>
            <w:r>
              <w:t>AMIF</w:t>
            </w:r>
          </w:p>
        </w:tc>
        <w:tc>
          <w:tcPr>
            <w:tcW w:type="dxa" w:w="3249"/>
          </w:tcPr>
          <w:p>
            <w:r>
              <w:t>up to 75%</w:t>
            </w:r>
          </w:p>
        </w:tc>
        <w:tc>
          <w:tcPr>
            <w:tcW w:type="dxa" w:w="3249"/>
          </w:tcPr>
          <w:p>
            <w:r>
              <w:t>25%, often covered by Land or municipal partner</w:t>
            </w:r>
          </w:p>
        </w:tc>
      </w:tr>
      <w:tr>
        <w:tc>
          <w:tcPr>
            <w:tcW w:type="dxa" w:w="3249"/>
          </w:tcPr>
          <w:p>
            <w:r>
              <w:t>ESF+ BW</w:t>
            </w:r>
          </w:p>
        </w:tc>
        <w:tc>
          <w:tcPr>
            <w:tcW w:type="dxa" w:w="3249"/>
          </w:tcPr>
          <w:p>
            <w:r>
              <w:t>40–60%</w:t>
            </w:r>
          </w:p>
        </w:tc>
        <w:tc>
          <w:tcPr>
            <w:tcW w:type="dxa" w:w="3249"/>
          </w:tcPr>
          <w:p>
            <w:r>
              <w:t>Often covered by Land or municipality</w:t>
            </w:r>
          </w:p>
        </w:tc>
      </w:tr>
      <w:tr>
        <w:tc>
          <w:tcPr>
            <w:tcW w:type="dxa" w:w="3249"/>
          </w:tcPr>
          <w:p>
            <w:r>
              <w:t>Foundations (Mercator, Bosch, BW Stiftung)</w:t>
            </w:r>
          </w:p>
        </w:tc>
        <w:tc>
          <w:tcPr>
            <w:tcW w:type="dxa" w:w="3249"/>
          </w:tcPr>
          <w:p>
            <w:r>
              <w:t>up to 100%</w:t>
            </w:r>
          </w:p>
        </w:tc>
        <w:tc>
          <w:tcPr>
            <w:tcW w:type="dxa" w:w="3249"/>
          </w:tcPr>
          <w:p>
            <w:r>
              <w:t>Usually none required</w:t>
            </w:r>
          </w:p>
        </w:tc>
      </w:tr>
      <w:tr>
        <w:tc>
          <w:tcPr>
            <w:tcW w:type="dxa" w:w="3249"/>
          </w:tcPr>
          <w:p>
            <w:r>
              <w:t>Stadt Stuttgart Integrationsfonds</w:t>
            </w:r>
          </w:p>
        </w:tc>
        <w:tc>
          <w:tcPr>
            <w:tcW w:type="dxa" w:w="3249"/>
          </w:tcPr>
          <w:p>
            <w:r>
              <w:t>up to 80–100%</w:t>
            </w:r>
          </w:p>
        </w:tc>
        <w:tc>
          <w:tcPr>
            <w:tcW w:type="dxa" w:w="3249"/>
          </w:tcPr>
          <w:p>
            <w:r>
              <w:t>Sometimes co-funding from partner association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C"/>
          </w:tcPr>
          <w:p>
            <w:r>
              <w:rPr>
                <w:b/>
                <w:color w:val="0B3D91"/>
                <w:sz w:val="24"/>
              </w:rPr>
              <w:t>Cash-flow reality</w:t>
              <w:br/>
            </w:r>
            <w:r>
              <w:rPr>
                <w:sz w:val="22"/>
              </w:rPr>
              <w:t>Pre-financing is typically 20–40%. You need ~6 months of working capital between signing and the first interim payment. Plan for it — many small grantees die of cash-flow, not rejection.</w:t>
            </w:r>
          </w:p>
        </w:tc>
      </w:tr>
    </w:tbl>
    <w:p/>
    <w:p>
      <w:pPr>
        <w:pStyle w:val="Heading2"/>
      </w:pPr>
      <w:r>
        <w:t>3.3 Mandatory paperwork checklist</w:t>
      </w:r>
    </w:p>
    <w:p>
      <w:r>
        <w:rPr>
          <w:b/>
          <w:sz w:val="24"/>
        </w:rPr>
        <w:t xml:space="preserve">☐  </w:t>
      </w:r>
      <w:r>
        <w:rPr>
          <w:sz w:val="22"/>
        </w:rPr>
        <w:t>PIC code on the EU Funding &amp; Tenders Portal (free, slow — start now)</w:t>
      </w:r>
    </w:p>
    <w:p>
      <w:r>
        <w:rPr>
          <w:b/>
          <w:sz w:val="24"/>
        </w:rPr>
        <w:t xml:space="preserve">☐  </w:t>
      </w:r>
      <w:r>
        <w:rPr>
          <w:sz w:val="22"/>
        </w:rPr>
        <w:t>EU Login for both founders</w:t>
      </w:r>
    </w:p>
    <w:p>
      <w:r>
        <w:rPr>
          <w:b/>
          <w:sz w:val="24"/>
        </w:rPr>
        <w:t xml:space="preserve">☐  </w:t>
      </w:r>
      <w:r>
        <w:rPr>
          <w:sz w:val="22"/>
        </w:rPr>
        <w:t>DSGVO concept: DPIA for community/event data, AVV with hosting providers, ROPA (Verarbeitungsverzeichnis)</w:t>
      </w:r>
    </w:p>
    <w:p>
      <w:r>
        <w:rPr>
          <w:b/>
          <w:sz w:val="24"/>
        </w:rPr>
        <w:t xml:space="preserve">☐  </w:t>
      </w:r>
      <w:r>
        <w:rPr>
          <w:sz w:val="22"/>
        </w:rPr>
        <w:t>Accessibility statement per BFSG (mandatory since June 2025 for digital services in DE)</w:t>
      </w:r>
    </w:p>
    <w:p>
      <w:r>
        <w:rPr>
          <w:b/>
          <w:sz w:val="24"/>
        </w:rPr>
        <w:t xml:space="preserve">☐  </w:t>
      </w:r>
      <w:r>
        <w:rPr>
          <w:sz w:val="22"/>
        </w:rPr>
        <w:t>Impressum + Datenschutzerklärung legally clean and reviewed</w:t>
      </w:r>
    </w:p>
    <w:p>
      <w:r>
        <w:rPr>
          <w:b/>
          <w:sz w:val="24"/>
        </w:rPr>
        <w:t xml:space="preserve">☐  </w:t>
      </w:r>
      <w:r>
        <w:rPr>
          <w:sz w:val="22"/>
        </w:rPr>
        <w:t>Letters of intent / MoUs from Stadt Stuttgart Welcome Center, IHK Stuttgart, ≥1 community partner, ≥1 university</w:t>
      </w:r>
    </w:p>
    <w:p>
      <w:r>
        <w:rPr>
          <w:b/>
          <w:sz w:val="24"/>
        </w:rPr>
        <w:t xml:space="preserve">☐  </w:t>
      </w:r>
      <w:r>
        <w:rPr>
          <w:sz w:val="22"/>
        </w:rPr>
        <w:t>Independent evaluator with a signed offer letter (target: freelance evaluation consultant or a chair at Uni Stuttgart / Hochschule Esslingen; ifo / BAMF-FZ as research-link aspirations only)</w:t>
      </w:r>
    </w:p>
    <w:p>
      <w:r>
        <w:rPr>
          <w:b/>
          <w:sz w:val="24"/>
        </w:rPr>
        <w:t xml:space="preserve">☐  </w:t>
      </w:r>
      <w:r>
        <w:rPr>
          <w:sz w:val="22"/>
        </w:rPr>
        <w:t>Audited or reviewed financials for the last 1–2 years</w:t>
      </w:r>
    </w:p>
    <w:p>
      <w:r>
        <w:rPr>
          <w:b/>
          <w:sz w:val="24"/>
        </w:rPr>
        <w:t xml:space="preserve">☐  </w:t>
      </w:r>
      <w:r>
        <w:rPr>
          <w:sz w:val="22"/>
        </w:rPr>
        <w:t>Project bank account separated from operating account (required for AMIF reporting)</w:t>
      </w:r>
    </w:p>
    <w:p>
      <w:pPr>
        <w:pStyle w:val="Heading2"/>
      </w:pPr>
      <w:r>
        <w:t>3.4 Re-skin the deck per funder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color w:val="FFFFFF"/>
              </w:rPr>
              <w:t>Funder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FFFFFF"/>
              </w:rPr>
              <w:t>Re-frame the deck around…</w:t>
            </w:r>
          </w:p>
        </w:tc>
      </w:tr>
      <w:tr>
        <w:tc>
          <w:tcPr>
            <w:tcW w:type="dxa" w:w="4873"/>
          </w:tcPr>
          <w:p>
            <w:r>
              <w:t>AMIF / BAMF</w:t>
            </w:r>
          </w:p>
        </w:tc>
        <w:tc>
          <w:tcPr>
            <w:tcW w:type="dxa" w:w="4873"/>
          </w:tcPr>
          <w:p>
            <w:r>
              <w:t>TCN integration in the first 90 days, civic participation, multi-language access. Drop startup language.</w:t>
            </w:r>
          </w:p>
        </w:tc>
      </w:tr>
      <w:tr>
        <w:tc>
          <w:tcPr>
            <w:tcW w:type="dxa" w:w="4873"/>
          </w:tcPr>
          <w:p>
            <w:r>
              <w:t>Stadt Stuttgart</w:t>
            </w:r>
          </w:p>
        </w:tc>
        <w:tc>
          <w:tcPr>
            <w:tcW w:type="dxa" w:w="4873"/>
          </w:tcPr>
          <w:p>
            <w:r>
              <w:t>Hyper-local: districts, named partners, named events, named community leaders. Very concrete.</w:t>
            </w:r>
          </w:p>
        </w:tc>
      </w:tr>
      <w:tr>
        <w:tc>
          <w:tcPr>
            <w:tcW w:type="dxa" w:w="4873"/>
          </w:tcPr>
          <w:p>
            <w:r>
              <w:t>Mercator / Bosch</w:t>
            </w:r>
          </w:p>
        </w:tc>
        <w:tc>
          <w:tcPr>
            <w:tcW w:type="dxa" w:w="4873"/>
          </w:tcPr>
          <w:p>
            <w:r>
              <w:t>Social cohesion, evidence-based, scalable model, independent evaluation. Avoid name-dropping BAMF-FZ / ifo unless an email confirmation exists — use freelance evaluator or university chair as the primary commitment.</w:t>
            </w:r>
          </w:p>
        </w:tc>
      </w:tr>
      <w:tr>
        <w:tc>
          <w:tcPr>
            <w:tcW w:type="dxa" w:w="4873"/>
          </w:tcPr>
          <w:p>
            <w:r>
              <w:t>BW Stiftung</w:t>
            </w:r>
          </w:p>
        </w:tc>
        <w:tc>
          <w:tcPr>
            <w:tcW w:type="dxa" w:w="4873"/>
          </w:tcPr>
          <w:p>
            <w:r>
              <w:t>Baden-Württemberg first; explicit alignment with the Land integration plan.</w:t>
            </w:r>
          </w:p>
        </w:tc>
      </w:tr>
      <w:tr>
        <w:tc>
          <w:tcPr>
            <w:tcW w:type="dxa" w:w="4873"/>
          </w:tcPr>
          <w:p>
            <w:r>
              <w:t>Prototype Fund</w:t>
            </w:r>
          </w:p>
        </w:tc>
        <w:tc>
          <w:tcPr>
            <w:tcW w:type="dxa" w:w="4873"/>
          </w:tcPr>
          <w:p>
            <w:r>
              <w:t>Open-source civic infrastructure for migrant communities. Emphasise the OSS component.</w:t>
            </w:r>
          </w:p>
        </w:tc>
      </w:tr>
    </w:tbl>
    <w:p/>
    <w:p>
      <w:pPr>
        <w:pStyle w:val="Heading1"/>
      </w:pPr>
      <w:r>
        <w:t>4. Application playbook — what to do, in order</w:t>
      </w:r>
    </w:p>
    <w:p>
      <w:pPr>
        <w:pStyle w:val="Heading2"/>
      </w:pPr>
      <w:r>
        <w:t>Next 2 weeks</w:t>
      </w:r>
    </w:p>
    <w:p>
      <w:pPr>
        <w:pStyle w:val="ListNumber"/>
      </w:pPr>
      <w:r>
        <w:t>Register PIC on the EU Funding &amp; Tenders Portal — slowest item, start today.</w:t>
      </w:r>
    </w:p>
    <w:p>
      <w:pPr>
        <w:pStyle w:val="ListNumber"/>
      </w:pPr>
      <w:r>
        <w:t>Email Stadt Stuttgart Abteilung Integration: request a 30-min meeting and share the 1-pager. Their Letter of Support is the single most valuable document you can collect.</w:t>
      </w:r>
    </w:p>
    <w:p>
      <w:pPr>
        <w:pStyle w:val="ListNumber"/>
      </w:pPr>
      <w:r>
        <w:t>Email BAMF Regionalkoordinator BW for AMIF national programme guidance and the current call schedule.</w:t>
      </w:r>
    </w:p>
    <w:p>
      <w:pPr>
        <w:pStyle w:val="ListNumber"/>
      </w:pPr>
      <w:r>
        <w:t>Email the BW Ministerium für Soziales referat for Integrationsförderung — ask which open call best fits a 12-month Stuttgart pilot.</w:t>
      </w:r>
    </w:p>
    <w:p>
      <w:pPr>
        <w:pStyle w:val="ListNumber"/>
      </w:pPr>
      <w:r>
        <w:t>Talk to a Steuerberater about gGmbH/e.V. setup. Get a written cost + timeline.</w:t>
      </w:r>
    </w:p>
    <w:p>
      <w:pPr>
        <w:pStyle w:val="Heading2"/>
      </w:pPr>
      <w:r>
        <w:t>Weeks 3–6</w:t>
      </w:r>
    </w:p>
    <w:p>
      <w:pPr>
        <w:pStyle w:val="ListNumber"/>
      </w:pPr>
      <w:r>
        <w:t>Pick your first two applications. Recommended: (a) Stadt Stuttgart Integrationsfonds — small, fast, builds CV; (b) Stiftung Mercator OR Robert Bosch Stiftung — bigger, longer cycle.</w:t>
      </w:r>
    </w:p>
    <w:p>
      <w:pPr>
        <w:pStyle w:val="ListNumber"/>
      </w:pPr>
      <w:r>
        <w:t>Sign MoUs with 3 community organisations + 1 university international office + Stadt Stuttgart Welcome Center.</w:t>
      </w:r>
    </w:p>
    <w:p>
      <w:pPr>
        <w:pStyle w:val="ListNumber"/>
      </w:pPr>
      <w:r>
        <w:t>Get the independent evaluator's signed offer letter.</w:t>
      </w:r>
    </w:p>
    <w:p>
      <w:pPr>
        <w:pStyle w:val="ListNumber"/>
      </w:pPr>
      <w:r>
        <w:t>Draft application v1, then submit internally to a friendly NCP reviewer.</w:t>
      </w:r>
    </w:p>
    <w:p>
      <w:pPr>
        <w:pStyle w:val="Heading2"/>
      </w:pPr>
      <w:r>
        <w:t>Weeks 7–12</w:t>
      </w:r>
    </w:p>
    <w:p>
      <w:pPr>
        <w:pStyle w:val="ListNumber"/>
      </w:pPr>
      <w:r>
        <w:t>Submit Stadt Stuttgart application (rolling or quarterly deadlines).</w:t>
      </w:r>
    </w:p>
    <w:p>
      <w:pPr>
        <w:pStyle w:val="ListNumber"/>
      </w:pPr>
      <w:r>
        <w:t>Submit foundation application (Mercator/Bosch — usually rolling, decisions in 3–6 months).</w:t>
      </w:r>
    </w:p>
    <w:p>
      <w:pPr>
        <w:pStyle w:val="ListNumber"/>
      </w:pPr>
      <w:r>
        <w:t>Prepare AMIF / ESF+ application for the next published call (BAMF + L-Bank BW pages).</w:t>
      </w:r>
    </w:p>
    <w:p>
      <w:pPr>
        <w:pStyle w:val="Heading2"/>
      </w:pPr>
      <w:r>
        <w:t>Months 4–6</w:t>
      </w:r>
    </w:p>
    <w:p>
      <w:pPr>
        <w:pStyle w:val="ListNumber"/>
      </w:pPr>
      <w:r>
        <w:t>Apply for Google for Nonprofits (after gGmbH/e.V. is registered) → unlocks Ad Grants + free Workspace.</w:t>
      </w:r>
    </w:p>
    <w:p>
      <w:pPr>
        <w:pStyle w:val="ListNumber"/>
      </w:pPr>
      <w:r>
        <w:t>Apply for Microsoft for Nonprofits → Azure credits (could replace your hosting line item).</w:t>
      </w:r>
    </w:p>
    <w:p>
      <w:pPr>
        <w:pStyle w:val="ListNumber"/>
      </w:pPr>
      <w:r>
        <w:t>Apply to Prototype Fund if you can carve out an OSS module.</w:t>
      </w:r>
    </w:p>
    <w:p>
      <w:pPr>
        <w:pStyle w:val="Heading1"/>
      </w:pPr>
      <w:r>
        <w:t>5. Advertising, marketing &amp; in-kind channels</w:t>
      </w:r>
    </w:p>
    <w:p>
      <w:r>
        <w:t>Not grants, but they materially reduce burn and add reach. Most require nonprofit status — another argument for the gGmbH/e.V. structure.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What you get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249"/>
          </w:tcPr>
          <w:p>
            <w:r>
              <w:t>Google Ad Grants</w:t>
            </w:r>
          </w:p>
        </w:tc>
        <w:tc>
          <w:tcPr>
            <w:tcW w:type="dxa" w:w="3249"/>
          </w:tcPr>
          <w:p>
            <w:r>
              <w:t>~€9k/month free Google Ads</w:t>
            </w:r>
          </w:p>
        </w:tc>
        <w:tc>
          <w:tcPr>
            <w:tcW w:type="dxa" w:w="3249"/>
          </w:tcPr>
          <w:p>
            <w:r>
              <w:t>Registered nonprofit, website meets policy</w:t>
            </w:r>
          </w:p>
        </w:tc>
      </w:tr>
      <w:tr>
        <w:tc>
          <w:tcPr>
            <w:tcW w:type="dxa" w:w="3249"/>
          </w:tcPr>
          <w:p>
            <w:r>
              <w:t>Google Workspace for Nonprofits</w:t>
            </w:r>
          </w:p>
        </w:tc>
        <w:tc>
          <w:tcPr>
            <w:tcW w:type="dxa" w:w="3249"/>
          </w:tcPr>
          <w:p>
            <w:r>
              <w:t>Free Workspace Business Standard</w:t>
            </w:r>
          </w:p>
        </w:tc>
        <w:tc>
          <w:tcPr>
            <w:tcW w:type="dxa" w:w="3249"/>
          </w:tcPr>
          <w:p>
            <w:r>
              <w:t>Same</w:t>
            </w:r>
          </w:p>
        </w:tc>
      </w:tr>
      <w:tr>
        <w:tc>
          <w:tcPr>
            <w:tcW w:type="dxa" w:w="3249"/>
          </w:tcPr>
          <w:p>
            <w:r>
              <w:t>Microsoft for Nonprofits</w:t>
            </w:r>
          </w:p>
        </w:tc>
        <w:tc>
          <w:tcPr>
            <w:tcW w:type="dxa" w:w="3249"/>
          </w:tcPr>
          <w:p>
            <w:r>
              <w:t>Azure credits, M365 free/discounted</w:t>
            </w:r>
          </w:p>
        </w:tc>
        <w:tc>
          <w:tcPr>
            <w:tcW w:type="dxa" w:w="3249"/>
          </w:tcPr>
          <w:p>
            <w:r>
              <w:t>Same</w:t>
            </w:r>
          </w:p>
        </w:tc>
      </w:tr>
      <w:tr>
        <w:tc>
          <w:tcPr>
            <w:tcW w:type="dxa" w:w="3249"/>
          </w:tcPr>
          <w:p>
            <w:r>
              <w:t>Meta Nonprofit programs</w:t>
            </w:r>
          </w:p>
        </w:tc>
        <w:tc>
          <w:tcPr>
            <w:tcW w:type="dxa" w:w="3249"/>
          </w:tcPr>
          <w:p>
            <w:r>
              <w:t>Reduced fundraising fees, training</w:t>
            </w:r>
          </w:p>
        </w:tc>
        <w:tc>
          <w:tcPr>
            <w:tcW w:type="dxa" w:w="3249"/>
          </w:tcPr>
          <w:p>
            <w:r>
              <w:t>Same</w:t>
            </w:r>
          </w:p>
        </w:tc>
      </w:tr>
      <w:tr>
        <w:tc>
          <w:tcPr>
            <w:tcW w:type="dxa" w:w="3249"/>
          </w:tcPr>
          <w:p>
            <w:r>
              <w:t>Apple App Store nonprofit fee waiver</w:t>
            </w:r>
          </w:p>
        </w:tc>
        <w:tc>
          <w:tcPr>
            <w:tcW w:type="dxa" w:w="3249"/>
          </w:tcPr>
          <w:p>
            <w:r>
              <w:t>App fees waived</w:t>
            </w:r>
          </w:p>
        </w:tc>
        <w:tc>
          <w:tcPr>
            <w:tcW w:type="dxa" w:w="3249"/>
          </w:tcPr>
          <w:p>
            <w:r>
              <w:t>Same</w:t>
            </w:r>
          </w:p>
        </w:tc>
      </w:tr>
      <w:tr>
        <w:tc>
          <w:tcPr>
            <w:tcW w:type="dxa" w:w="3249"/>
          </w:tcPr>
          <w:p>
            <w:r>
              <w:t>GitHub for Nonprofits</w:t>
            </w:r>
          </w:p>
        </w:tc>
        <w:tc>
          <w:tcPr>
            <w:tcW w:type="dxa" w:w="3249"/>
          </w:tcPr>
          <w:p>
            <w:r>
              <w:t>Free Team plan</w:t>
            </w:r>
          </w:p>
        </w:tc>
        <w:tc>
          <w:tcPr>
            <w:tcW w:type="dxa" w:w="3249"/>
          </w:tcPr>
          <w:p>
            <w:r>
              <w:t>Same</w:t>
            </w:r>
          </w:p>
        </w:tc>
      </w:tr>
      <w:tr>
        <w:tc>
          <w:tcPr>
            <w:tcW w:type="dxa" w:w="3249"/>
          </w:tcPr>
          <w:p>
            <w:r>
              <w:t>Notion / Slack / Figma for Nonprofits</w:t>
            </w:r>
          </w:p>
        </w:tc>
        <w:tc>
          <w:tcPr>
            <w:tcW w:type="dxa" w:w="3249"/>
          </w:tcPr>
          <w:p>
            <w:r>
              <w:t>Free or discounted plans</w:t>
            </w:r>
          </w:p>
        </w:tc>
        <w:tc>
          <w:tcPr>
            <w:tcW w:type="dxa" w:w="3249"/>
          </w:tcPr>
          <w:p>
            <w:r>
              <w:t>Same</w:t>
            </w:r>
          </w:p>
        </w:tc>
      </w:tr>
      <w:tr>
        <w:tc>
          <w:tcPr>
            <w:tcW w:type="dxa" w:w="3249"/>
          </w:tcPr>
          <w:p>
            <w:r>
              <w:t>Stadt Stuttgart Plakatflächen</w:t>
            </w:r>
          </w:p>
        </w:tc>
        <w:tc>
          <w:tcPr>
            <w:tcW w:type="dxa" w:w="3249"/>
          </w:tcPr>
          <w:p>
            <w:r>
              <w:t>Free poster space for civic events</w:t>
            </w:r>
          </w:p>
        </w:tc>
        <w:tc>
          <w:tcPr>
            <w:tcW w:type="dxa" w:w="3249"/>
          </w:tcPr>
          <w:p>
            <w:r>
              <w:t>Partnership with Stadt</w:t>
            </w:r>
          </w:p>
        </w:tc>
      </w:tr>
      <w:tr>
        <w:tc>
          <w:tcPr>
            <w:tcW w:type="dxa" w:w="3249"/>
          </w:tcPr>
          <w:p>
            <w:r>
              <w:t>VVS / SSB co-promotion</w:t>
            </w:r>
          </w:p>
        </w:tc>
        <w:tc>
          <w:tcPr>
            <w:tcW w:type="dxa" w:w="3249"/>
          </w:tcPr>
          <w:p>
            <w:r>
              <w:t>Posters in trams / U-Bahn</w:t>
            </w:r>
          </w:p>
        </w:tc>
        <w:tc>
          <w:tcPr>
            <w:tcW w:type="dxa" w:w="3249"/>
          </w:tcPr>
          <w:p>
            <w:r>
              <w:t>Civic partnership</w:t>
            </w:r>
          </w:p>
        </w:tc>
      </w:tr>
      <w:tr>
        <w:tc>
          <w:tcPr>
            <w:tcW w:type="dxa" w:w="3249"/>
          </w:tcPr>
          <w:p>
            <w:r>
              <w:t>Indo-German Chamber (IGCC) newsletter</w:t>
            </w:r>
          </w:p>
        </w:tc>
        <w:tc>
          <w:tcPr>
            <w:tcW w:type="dxa" w:w="3249"/>
          </w:tcPr>
          <w:p>
            <w:r>
              <w:t>Reach into Indian-corporate diaspora</w:t>
            </w:r>
          </w:p>
        </w:tc>
        <w:tc>
          <w:tcPr>
            <w:tcW w:type="dxa" w:w="3249"/>
          </w:tcPr>
          <w:p>
            <w:r>
              <w:t>Membership / content partnership</w:t>
            </w:r>
          </w:p>
        </w:tc>
      </w:tr>
      <w:tr>
        <w:tc>
          <w:tcPr>
            <w:tcW w:type="dxa" w:w="3249"/>
          </w:tcPr>
          <w:p>
            <w:r>
              <w:t>Indian Consulate Munich newsletter &amp; events</w:t>
            </w:r>
          </w:p>
        </w:tc>
        <w:tc>
          <w:tcPr>
            <w:tcW w:type="dxa" w:w="3249"/>
          </w:tcPr>
          <w:p>
            <w:r>
              <w:t>Direct reach into target audience</w:t>
            </w:r>
          </w:p>
        </w:tc>
        <w:tc>
          <w:tcPr>
            <w:tcW w:type="dxa" w:w="3249"/>
          </w:tcPr>
          <w:p>
            <w:r>
              <w:t>Already a named partner</w:t>
            </w:r>
          </w:p>
        </w:tc>
      </w:tr>
      <w:tr>
        <w:tc>
          <w:tcPr>
            <w:tcW w:type="dxa" w:w="3249"/>
          </w:tcPr>
          <w:p>
            <w:r>
              <w:t>University international offices</w:t>
            </w:r>
          </w:p>
        </w:tc>
        <w:tc>
          <w:tcPr>
            <w:tcW w:type="dxa" w:w="3249"/>
          </w:tcPr>
          <w:p>
            <w:r>
              <w:t>Direct reach into Indian student cohort</w:t>
            </w:r>
          </w:p>
        </w:tc>
        <w:tc>
          <w:tcPr>
            <w:tcW w:type="dxa" w:w="3249"/>
          </w:tcPr>
          <w:p>
            <w:r>
              <w:t>MoU</w:t>
            </w:r>
          </w:p>
        </w:tc>
      </w:tr>
      <w:tr>
        <w:tc>
          <w:tcPr>
            <w:tcW w:type="dxa" w:w="3249"/>
          </w:tcPr>
          <w:p>
            <w:r>
              <w:t>DAAD alumni network</w:t>
            </w:r>
          </w:p>
        </w:tc>
        <w:tc>
          <w:tcPr>
            <w:tcW w:type="dxa" w:w="3249"/>
          </w:tcPr>
          <w:p>
            <w:r>
              <w:t>Reach into highly-skilled returnees</w:t>
            </w:r>
          </w:p>
        </w:tc>
        <w:tc>
          <w:tcPr>
            <w:tcW w:type="dxa" w:w="3249"/>
          </w:tcPr>
          <w:p>
            <w:r>
              <w:t>Light partnership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C"/>
          </w:tcPr>
          <w:p>
            <w:r>
              <w:rPr>
                <w:b/>
                <w:color w:val="0B3D91"/>
                <w:sz w:val="24"/>
              </w:rPr>
              <w:t>Underused bucket: corporate sponsorship</w:t>
              <w:br/>
            </w:r>
            <w:r>
              <w:rPr>
                <w:sz w:val="22"/>
              </w:rPr>
              <w:t>Indian IT majors (TCS, Infosys, Wipro, HCL, Tech Mahindra) all have Stuttgart-region offices and CSR budgets earmarked for diaspora / integration. So do German firms with large Indian workforces (Bosch, Mercedes-Benz, Porsche, SAP, Allianz). A €5k–€25k sponsorship from any one is faster than any grant — and counts as co-financing for AMIF / ESF+.</w:t>
            </w:r>
          </w:p>
        </w:tc>
      </w:tr>
    </w:tbl>
    <w:p/>
    <w:p>
      <w:pPr>
        <w:pStyle w:val="Heading1"/>
      </w:pPr>
      <w:r>
        <w:t>6. What to NOT do</w:t>
      </w:r>
    </w:p>
    <w:p>
      <w:pPr>
        <w:pStyle w:val="ListBullet"/>
      </w:pPr>
      <w:r>
        <w:t>Don't apply to EIC Accelerator — 200 hours wasted, desk-rejected.</w:t>
      </w:r>
    </w:p>
    <w:p>
      <w:pPr>
        <w:pStyle w:val="ListBullet"/>
      </w:pPr>
      <w:r>
        <w:t>Don't try to lead a Horizon consortium. Maybe join one as a community partner.</w:t>
      </w:r>
    </w:p>
    <w:p>
      <w:pPr>
        <w:pStyle w:val="ListBullet"/>
      </w:pPr>
      <w:r>
        <w:t>Don't promise the same KPIs to every funder — they talk to each other (especially BW foundations).</w:t>
      </w:r>
    </w:p>
    <w:p>
      <w:pPr>
        <w:pStyle w:val="ListBullet"/>
      </w:pPr>
      <w:r>
        <w:t>Don't position as 'startup' to public funders or as 'NGO' to commercial sponsors. Use the integration-infrastructure framing for both.</w:t>
      </w:r>
    </w:p>
    <w:p>
      <w:pPr>
        <w:pStyle w:val="ListBullet"/>
      </w:pPr>
      <w:r>
        <w:t>Don't accept any grant that demands open-ended IP transfer or perpetual free-service obligations without legal review.</w:t>
      </w:r>
    </w:p>
    <w:p>
      <w:pPr>
        <w:pStyle w:val="Heading1"/>
      </w:pPr>
      <w:r>
        <w:t>7. Where to send the existing deck —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Apply now (deck is ready)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Apply after small tailoring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Don't bother</w:t>
            </w:r>
          </w:p>
        </w:tc>
      </w:tr>
      <w:tr>
        <w:tc>
          <w:tcPr>
            <w:tcW w:type="dxa" w:w="3249"/>
          </w:tcPr>
          <w:p>
            <w:r>
              <w:t>Stadt Stuttgart Integrationsfonds</w:t>
            </w:r>
          </w:p>
        </w:tc>
        <w:tc>
          <w:tcPr>
            <w:tcW w:type="dxa" w:w="3249"/>
          </w:tcPr>
          <w:p>
            <w:r>
              <w:t>AMIF national programme (BAMF)</w:t>
            </w:r>
          </w:p>
        </w:tc>
        <w:tc>
          <w:tcPr>
            <w:tcW w:type="dxa" w:w="3249"/>
          </w:tcPr>
          <w:p>
            <w:r>
              <w:t>EIC Accelerator</w:t>
            </w:r>
          </w:p>
        </w:tc>
      </w:tr>
      <w:tr>
        <w:tc>
          <w:tcPr>
            <w:tcW w:type="dxa" w:w="3249"/>
          </w:tcPr>
          <w:p>
            <w:r>
              <w:t>Robert Bosch Stiftung</w:t>
            </w:r>
          </w:p>
        </w:tc>
        <w:tc>
          <w:tcPr>
            <w:tcW w:type="dxa" w:w="3249"/>
          </w:tcPr>
          <w:p>
            <w:r>
              <w:t>ESF+ BW</w:t>
            </w:r>
          </w:p>
        </w:tc>
        <w:tc>
          <w:tcPr>
            <w:tcW w:type="dxa" w:w="3249"/>
          </w:tcPr>
          <w:p>
            <w:r>
              <w:t>Horizon Europe</w:t>
            </w:r>
          </w:p>
        </w:tc>
      </w:tr>
      <w:tr>
        <w:tc>
          <w:tcPr>
            <w:tcW w:type="dxa" w:w="3249"/>
          </w:tcPr>
          <w:p>
            <w:r>
              <w:t>Stiftung Mercator</w:t>
            </w:r>
          </w:p>
        </w:tc>
        <w:tc>
          <w:tcPr>
            <w:tcW w:type="dxa" w:w="3249"/>
          </w:tcPr>
          <w:p>
            <w:r>
              <w:t>BW Stiftung</w:t>
            </w:r>
          </w:p>
        </w:tc>
        <w:tc>
          <w:tcPr>
            <w:tcW w:type="dxa" w:w="3249"/>
          </w:tcPr>
          <w:p>
            <w:r>
              <w:t>Digital Europe</w:t>
            </w:r>
          </w:p>
        </w:tc>
      </w:tr>
      <w:tr>
        <w:tc>
          <w:tcPr>
            <w:tcW w:type="dxa" w:w="3249"/>
          </w:tcPr>
          <w:p>
            <w:r>
              <w:t>BW Stiftung discretionary</w:t>
            </w:r>
          </w:p>
        </w:tc>
        <w:tc>
          <w:tcPr>
            <w:tcW w:type="dxa" w:w="3249"/>
          </w:tcPr>
          <w:p>
            <w:r>
              <w:t>CERV (with consortium)</w:t>
            </w:r>
          </w:p>
        </w:tc>
        <w:tc>
          <w:tcPr>
            <w:tcW w:type="dxa" w:w="3249"/>
          </w:tcPr>
          <w:p>
            <w:r>
              <w:t>CEF Digital</w:t>
            </w:r>
          </w:p>
        </w:tc>
      </w:tr>
      <w:tr>
        <w:tc>
          <w:tcPr>
            <w:tcW w:type="dxa" w:w="3249"/>
          </w:tcPr>
          <w:p>
            <w:r>
              <w:t>Prototype Fund (with OSS angle)</w:t>
            </w:r>
          </w:p>
        </w:tc>
        <w:tc>
          <w:tcPr>
            <w:tcW w:type="dxa" w:w="3249"/>
          </w:tcPr>
          <w:p>
            <w:r>
              <w:t>—</w:t>
            </w:r>
          </w:p>
        </w:tc>
        <w:tc>
          <w:tcPr>
            <w:tcW w:type="dxa" w:w="3249"/>
          </w:tcPr>
          <w:p>
            <w:r>
              <w:t>Creative Europe</w:t>
            </w:r>
          </w:p>
        </w:tc>
      </w:tr>
    </w:tbl>
    <w:p/>
    <w:p>
      <w:pPr>
        <w:pStyle w:val="Heading1"/>
      </w:pPr>
      <w:r>
        <w:t>8. Single most important next action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F"/>
          </w:tcPr>
          <w:p>
            <w:r>
              <w:rPr>
                <w:b/>
                <w:color w:val="0B3D91"/>
                <w:sz w:val="24"/>
              </w:rPr>
              <w:t>Do this week</w:t>
              <w:br/>
            </w:r>
            <w:r>
              <w:rPr>
                <w:sz w:val="22"/>
              </w:rPr>
              <w:t>Book a 30-minute meeting with the Stadt Stuttgart Abteilung Integration. Their letter of support is required (or strongly recommended) by AMIF, ESF+ BW, BW Stiftung, Bosch and Mercator. One meeting unlocks five applications.</w:t>
            </w:r>
          </w:p>
        </w:tc>
      </w:tr>
    </w:tbl>
    <w:p/>
    <w:p/>
    <w:p>
      <w:r>
        <w:rPr>
          <w:i/>
          <w:color w:val="555555"/>
          <w:sz w:val="18"/>
        </w:rPr>
        <w:t>Working memo prepared for the IndLokal founding team. Programme names, eligibility and call schedules change frequently — verify on the EU Funding &amp; Tenders Portal, BAMF, L-Bank BW and each foundation's site before applying.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