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Project Engineering Plan</w:t>
      </w:r>
    </w:p>
    <w:p>
      <w:pPr>
        <w:jc w:val="center"/>
      </w:pPr>
      <w:r>
        <w:rPr>
          <w:sz w:val="24"/>
          <w:szCs w:val="24"/>
        </w:rPr>
        <w:t xml:space="preserve">Version 1.1  ·  Kirrt Tech  ·  May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— Build begins after this document is signed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PRD → User Stories → TDD. No exceptions.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ZovKu first. Pathlight built alongside, not instead of.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change in v1.1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is injected by Pathlight. No user installation. Journey matching via [E2E-NNN] title pattern. projectRoot and playwrightConfigPath added to config.</w:t>
            </w:r>
          </w:p>
        </w:tc>
      </w:tr>
    </w:tbl>
    <w:p/>
    <w:p>
      <w:pPr>
        <w:pStyle w:val="Heading1"/>
      </w:pPr>
      <w:r>
        <w:t xml:space="preserve">1. Engineering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Non-negotiable: Every feature follows this exact sequence. No shortcuts, no exceptions.
PRD → User Stories → Failing Tests → Implementation → Refactor → PR → Merge</w:t>
            </w:r>
          </w:p>
        </w:tc>
      </w:tr>
    </w:tbl>
    <w:p/>
    <w:p>
      <w:r>
        <w:t xml:space="preserve">Pathlight is built like a product from day one even though it starts as an internal tool: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agnostic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hardcoded ZovKu references in core logic. Configuration drives project identity. Point Pathlight at any project with Playwright tests.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friction for user projects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reporter installation required in target projects. No code changes. No config changes. Pathlight injects everything at run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matching is automatic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titles containing [E2E-NNN] are matched automatically. No @pathlight: tags. No manual mapping files.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component independently testable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feature merges without passing tests.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 is DoD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an afterthought.</w:t>
            </w:r>
          </w:p>
        </w:tc>
      </w:tr>
    </w:tbl>
    <w:p/>
    <w:p>
      <w:pPr>
        <w:pStyle w:val="Heading1"/>
      </w:pPr>
      <w:r>
        <w:t xml:space="preserve">2. The Numbered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 —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PRD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every decision. Sign off PRD v1.1 before any other work.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Architecture 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flow, component boundaries, API contracts, environment strategy. All locked before code.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Model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schema, run schema, event schema — fully defined.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 Definition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 Connector, Path Intelligence Engine, Manifest, Fishbone Renderer, Reporter Injection, Live Streaming, Dashboard.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Stories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story for MVP scope with acceptance criteria, happy paths, unhappy paths, edge cases.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Sequencing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by technical dependency, not desirability.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 — ENVIRONMENT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Monorepo Initialisation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apps/web, apps/server, packages/playwright-reporter. Naming conventions locked.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Tooling Configuration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 strict mode, ESLint, Prettier. Commit hooks block bad code.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Framework Setup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for unit/integration. Playwright for E2E.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Actions. Every PR: lint, type-check, unit tests, integration tests.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Dev, test, staging configs. Secrets via env vars only.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3 — DEVELOPMENT CYCLE (repeats per story)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unstarted story from sequenced backlog.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Failing Unit 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phase. All tests must fail.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Failing Integration 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phase continues.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Minimum Code to Pass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phase. Simplest code that passes all tests.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phase. Clean without breaking tests.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PR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tests pass. PR references the user story.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to 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passes. Code reviewed. Documentation updated.</w:t>
            </w:r>
          </w:p>
        </w:tc>
      </w:tr>
    </w:tbl>
    <w:p/>
    <w:p>
      <w:pPr>
        <w:pStyle w:val="Heading1"/>
      </w:pPr>
      <w:r>
        <w:t xml:space="preserve">3.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 OF DONE — ALL MUST BE TRUE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acceptance criteria from the user story are met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 written and passing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 written and passing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TypeScript errors — strict mode, zero suppressions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ESLint warnings ignored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opened, CI pipeline green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reviewed before merge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or relevant documentation updated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closed in backlog with reference to merged PR</w:t>
            </w:r>
          </w:p>
        </w:tc>
      </w:tr>
    </w:tbl>
    <w:p/>
    <w:p>
      <w:pPr>
        <w:pStyle w:val="Heading1"/>
      </w:pPr>
      <w:r>
        <w:t xml:space="preserve">4. Key Decisions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 starts with JIRA. JSON-only mode added in V1.1.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default. Provider-agnostic architecture from day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Runner (V1)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only. Event schema is framework-agnostic.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Bundled inside Pathlight. Injected via --reporter CLI arg at run time. User installs nothing in their project.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via [E2E-NNN] bracket pattern in test titles. No @pathlight: tags. No manual mapping.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targeting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projectRoot and playwrightConfigPath fields in pathlight.config.json. Set once per project on config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Global. Developer tools have no geography.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core + hosted premium.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ZovKu launches first. Pathlight built alongside, not instead of.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(MVP)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only for V1.</w:t>
            </w:r>
          </w:p>
        </w:tc>
      </w:tr>
    </w:tbl>
    <w:p/>
    <w:p>
      <w:pPr>
        <w:pStyle w:val="Heading1"/>
      </w:pPr>
      <w: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Vite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model suits fishbone SVG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Fishbone Renderer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SVG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animation control, no library lock-in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Lightweight, fast SSE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Runner Reporter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Bundled Playwright custom reporter (injected at run 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user installation. Pathlight self-contained. Official Playwright reporter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Server-Sent Events (SSE)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Simpler than WebSocket for one-way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/ Path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Provider-agnostic interface supports any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/ 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TypeScript-native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tool used for reporter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Store (V1)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JSON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to build, portable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Store (V2)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History, trends, multi-user when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Atlassian OAuth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JIRA Cloud integration</w:t>
            </w:r>
          </w:p>
        </w:tc>
      </w:tr>
    </w:tbl>
    <w:p/>
    <w:p>
      <w:pPr>
        <w:pStyle w:val="Heading1"/>
      </w:pPr>
      <w:r>
        <w:t xml:space="preserve">6. What Happens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this document (v1.1). Sign off means build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PRD v1.1 — all decisions confirmed.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System Architecture Document.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data models — manifest schema, event schema, run schema.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Epics and User Stories for MVP scope.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Sequence stories. Pick the first one. Write failing tests. Build.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Rule: Do not start Step 3 until Step 2 is done. Sequence is not optional.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2026-05-27T01:04:04.359Z</dcterms:created>
  <dcterms:modified xsi:type="dcterms:W3CDTF">2026-05-27T01:04:04.360Z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