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PATHLIGHT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Test Intelligence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Project Engineering Plan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Inder — Kirrt Tech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Confirmed — Build begins after this document is signed off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</w:rPr>
              <w:t xml:space="preserve">Engineering Rule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B2335"/>
              </w:rPr>
              <w:t xml:space="preserve">PRD → User Stories → TDD. No exceptions.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</w:rPr>
              <w:t xml:space="preserve">Build Priority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</w:rPr>
              <w:t xml:space="preserve">ZovKu first. Pathlight built alongside, not instead of.</w:t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1. Engineering Philosophy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Non-negotiable: </w:t>
            </w:r>
            <w:r>
              <w:rPr>
                <w:rFonts w:ascii="Arial" w:cs="Arial" w:eastAsia="Arial" w:hAnsi="Arial"/>
                <w:color w:val="1A3C5E"/>
              </w:rPr>
              <w:t xml:space="preserve">Every feature follows this exact sequence. No shortcuts, no exceptions.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PRD  →  User Stories  →  Failing Tests  →  Implementation  →  Refactor  →  PR  →  Merge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>Pathlight is built like a product from day one even though it starts as an internal tool. This means: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</w:rPr>
        <w:t xml:space="preserve">No hardcoded ZovKu references in core logic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</w:rPr>
        <w:t xml:space="preserve">Configuration drives project identity — swap a config, run a different project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</w:rPr>
        <w:t xml:space="preserve">Every component is independently testable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</w:rPr>
        <w:t xml:space="preserve">No feature merges without passing tests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Arial" w:cs="Arial" w:eastAsia="Arial" w:hAnsi="Arial"/>
        </w:rPr>
        <w:t xml:space="preserve">Documentation is part of the Definition of Done, not an afterthought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2. The Numbered Plan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60"/>
        <w:gridCol w:w="6160"/>
      </w:tblGrid>
      <w:tr>
        <w:tc>
          <w:tcPr>
            <w:tcW w:type="dxa" w:w="9360"/>
            <w:gridSpan w:val="3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PLANNING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Lock PRD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Confirm every decision is made. No open questions remaining. Sign off PRD as V1.0 before any other work starts.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System Architecture Document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Data flow diagram, component boundaries, API contracts, environment strategy (dev / test / staging). All locked before code.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Data Model Design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Manifest schema, run schema, event schema — fully defined and agreed. These are the contracts everything else is built against.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Epic Definition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Group PRD features into logical Epics: JIRA Connector, Path Intelligence Engine, Manifest, Fishbone Renderer, Playwright Reporter, Live Streaming, Dashboard.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User Stories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Write every story for MVP scope. Each story must have: title, acceptance criteria, happy paths, unhappy paths, edge cases. No story is incomplete.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Story Sequencing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Order stories by technical dependency, not desirability. A story that blocks others goes first regardless of how exciting it is.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60"/>
        <w:gridCol w:w="6160"/>
      </w:tblGrid>
      <w:tr>
        <w:tc>
          <w:tcPr>
            <w:tcW w:type="dxa" w:w="9360"/>
            <w:gridSpan w:val="3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ENVIRONMENT SETUP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Monorepo Initialisation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Create folder structure: apps/web, apps/server, packages/playwright-reporter, packages/manifest-schema. Naming conventions locked.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Tooling Configuration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TypeScript strict mode, ESLint, Prettier — all configured and enforced. No warnings ignored. Commit hooks block bad code.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Testing Framework Setup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Vitest for unit and integration tests. Playwright for E2E. Test commands documented in README. CI runs them all.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CI Pipeline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GitHub Actions configured. Every PR triggers: lint, type-check, unit tests, integration tests. Red pipeline = no merge. No exceptions.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4A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Environment Config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Dev, test, and staging configs defined. Secrets via environment variables only — never hardcoded, never committed. .env.example documents every key.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60"/>
        <w:gridCol w:w="6160"/>
      </w:tblGrid>
      <w:tr>
        <w:tc>
          <w:tcPr>
            <w:tcW w:type="dxa" w:w="9360"/>
            <w:gridSpan w:val="3"/>
            <w:tcBorders>
              <w:top w:val="single" w:color="155E3A" w:sz="1"/>
              <w:left w:val="single" w:color="155E3A" w:sz="1"/>
              <w:bottom w:val="single" w:color="155E3A" w:sz="1"/>
              <w:right w:val="single" w:color="155E3A" w:sz="1"/>
            </w:tcBorders>
            <w:shd w:fill="155E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DEVELOPMENT CYCLE (repeats per story)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Pick Story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Take the top unstarted story from the sequenced backlog. Do not pick based on interest — pick based on dependency order.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Write Failing Unit Tests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Red phase. Write tests that cover the acceptance criteria for this story. All tests must fail at this point — that is correct.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Write Failing Integration Tests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Red phase continues. Write integration tests that cover the story boundaries and contract with adjacent components. Still failing.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Implement Minimum Code to Pass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Green phase. Write the simplest code that makes all tests pass. No gold-plating, no extra features, no optimisation yet.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Refactor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Blue phase. Clean the implementation without breaking any tests. Extract functions, improve naming, remove duplication. Tests stay green.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Open PR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All tests must pass before PR is opened. PR description references the user story and acceptance criteria. Self-review before requesting merge.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5E3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Merge to Main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CI passes. Code reviewed. Documentation updated. Story closed in backlog. Only then does this story count as done.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60"/>
        <w:gridCol w:w="6160"/>
      </w:tblGrid>
      <w:tr>
        <w:tc>
          <w:tcPr>
            <w:tcW w:type="dxa" w:w="9360"/>
            <w:gridSpan w:val="3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PER EPIC COMPLETION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7791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Epic Integration Test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When all stories in an Epic are done, run a full end-to-end test of the Epic as a whole. This is not optional.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7791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Documentation Update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README, API docs, config reference, architecture notes — all updated to reflect what was actually built, not what was planned.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7791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Epic Demo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Run the Epic against ZovKu. Watch it work. If it does not do exactly what the user stories said, do not close the Epic.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3. Definition of Done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B2335"/>
        </w:rPr>
        <w:t xml:space="preserve">A story is not done until every item below is true. Partially done is not done.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9360"/>
            <w:gridSpan w:val="2"/>
            <w:tcBorders>
              <w:top w:val="single" w:color="1D6A45" w:sz="1"/>
              <w:left w:val="single" w:color="1D6A45" w:sz="1"/>
              <w:bottom w:val="single" w:color="1D6A45" w:sz="1"/>
              <w:right w:val="single" w:color="1D6A45" w:sz="1"/>
            </w:tcBorders>
            <w:shd w:fill="1D6A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 — ALL MUST BE TRUE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All acceptance criteria from the user story are met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Unit tests written and passing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Integration tests written and passing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No TypeScript errors — strict mode, zero suppressions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No ESLint warnings ignored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PR opened, CI pipeline green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Code reviewed before merge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README or relevant documentation updated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45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Story closed in backlog with reference to merged PR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4. Key Decisions Locked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</w:rPr>
        <w:t xml:space="preserve">These decisions were made during planning and are not revisited during V1 build.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JIRA Integration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V1 starts with JIRA. JSON-only mode added in V1.1.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Claude API default. Provider-agnostic architecture from day one — teams can plug in OpenAI, Gemini, Ollama, or any model.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Out of scope. Prompted foundation model handles path derivation in V1.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Test Runner (V1)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Playwright only. Event schema is framework-agnostic — Vitest, Jest, pytest reporters added after V1.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Launch Market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Global. Developer tools have no geography.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Business Model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Open source core + hosted premium. Pure SaaS is not defensible for a developer tool.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Build Priority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ZovKu launches first. Pathlight built alongside, not instead of.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Hosting (MVP)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Local only for V1. Hosted tier comes after ZovKu has paying customers.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5. Technology Stack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React + Vite + TypeScript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Component model suits fishbone SVG rendering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Fishbone Renderer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Custom SVG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Full animation control, no library lock-in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Lightweight, fast SSE support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Runner Reporter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Playwright custom reporter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Official API, stable, widely used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Live Streaming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Server-Sent Events (SSE)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Simpler than WebSocket for one-way events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AI / Path Engine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Claude API (claude-sonnet-4-6)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Provider-agnostic interface supports any LLM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Unit / Integration Tests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Vitest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Fast, TypeScript-native, Vite-compatible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Playwright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Same tool used for the reporter — no new dependency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Manifest Store (V1)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Local JSON files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Fast to build, portable, no infra overhead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Manifest Store (V2)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History, trends, multi-user when ready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Atlassian OAuth 2.0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</w:rPr>
              <w:t xml:space="preserve">Required for JIRA Cloud integration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B6CB0" w:sz="4" w:space="4"/>
        </w:pBdr>
        <w:spacing w:after="160" w:before="320"/>
      </w:pPr>
      <w:r>
        <w:rPr>
          <w:rFonts w:ascii="Arial" w:cs="Arial" w:eastAsia="Arial" w:hAnsi="Arial"/>
        </w:rPr>
        <w:t xml:space="preserve">6. What Happens Next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1: </w:t>
            </w:r>
            <w:r>
              <w:rPr>
                <w:rFonts w:ascii="Arial" w:cs="Arial" w:eastAsia="Arial" w:hAnsi="Arial"/>
                <w:color w:val="1A3C5E"/>
              </w:rPr>
              <w:t xml:space="preserve">Confirm this document. Sign off means build begins.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2: </w:t>
            </w:r>
            <w:r>
              <w:rPr>
                <w:rFonts w:ascii="Arial" w:cs="Arial" w:eastAsia="Arial" w:hAnsi="Arial"/>
                <w:color w:val="1A3C5E"/>
              </w:rPr>
              <w:t xml:space="preserve">Lock PRD V1.0 — all decisions confirmed, document updated.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3: </w:t>
            </w:r>
            <w:r>
              <w:rPr>
                <w:rFonts w:ascii="Arial" w:cs="Arial" w:eastAsia="Arial" w:hAnsi="Arial"/>
                <w:color w:val="1A3C5E"/>
              </w:rPr>
              <w:t xml:space="preserve">Write System Architecture Document.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4: </w:t>
            </w:r>
            <w:r>
              <w:rPr>
                <w:rFonts w:ascii="Arial" w:cs="Arial" w:eastAsia="Arial" w:hAnsi="Arial"/>
                <w:color w:val="1A3C5E"/>
              </w:rPr>
              <w:t xml:space="preserve">Lock data models — manifest schema, event schema, run schema.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5: </w:t>
            </w:r>
            <w:r>
              <w:rPr>
                <w:rFonts w:ascii="Arial" w:cs="Arial" w:eastAsia="Arial" w:hAnsi="Arial"/>
                <w:color w:val="1A3C5E"/>
              </w:rPr>
              <w:t xml:space="preserve">Write Epics and User Stories for MVP scope.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</w:rPr>
              <w:t xml:space="preserve">Step 6: </w:t>
            </w:r>
            <w:r>
              <w:rPr>
                <w:rFonts w:ascii="Arial" w:cs="Arial" w:eastAsia="Arial" w:hAnsi="Arial"/>
                <w:color w:val="1A3C5E"/>
              </w:rPr>
              <w:t xml:space="preserve">Sequence stories. Pick the first one. Write failing tests. Build.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</w:rPr>
              <w:t xml:space="preserve">Do not start Step 3 until Step 2 is done. Do not start Step 4 until Step 3 is done. Sequence is not optional.</w:t>
            </w:r>
          </w:p>
        </w:tc>
      </w:tr>
    </w:tbl>
    <w:p>
      <w:pPr>
        <w:spacing w:after="0" w:before="3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B6CB0" w:sz="2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Pathlight · Engineering Plan V1.0 · Kirrt Tech · Confidential · May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8"/>
        <w:szCs w:val="18"/>
      </w:rPr>
      <w:t xml:space="preserve">PATHLIGHT</w:t>
    </w:r>
    <w:r>
      <w:rPr>
        <w:rFonts w:ascii="Arial" w:cs="Arial" w:eastAsia="Arial" w:hAnsi="Arial"/>
        <w:color w:val="4A5568"/>
        <w:sz w:val="16"/>
        <w:szCs w:val="16"/>
      </w:rPr>
      <w:t xml:space="preserve">   |   Project Engineering Plan   |   Kirrt Tech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2026-05-20T01:30:51.946Z</dcterms:created>
  <dcterms:modified xsi:type="dcterms:W3CDTF">2026-05-20T01:30:51.946Z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