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A3C5E"/>
          <w:sz w:val="56"/>
          <w:szCs w:val="56"/>
        </w:rPr>
        <w:t xml:space="preserve">TAD Review</w:t>
      </w:r>
    </w:p>
    <w:p>
      <w:pPr>
        <w:spacing w:after="60" w:before="0"/>
        <w:jc w:val="center"/>
      </w:pPr>
      <w:r>
        <w:rPr>
          <w:rFonts w:ascii="Arial" w:cs="Arial" w:eastAsia="Arial" w:hAnsi="Arial"/>
          <w:color w:val="2B6CB0"/>
          <w:sz w:val="32"/>
          <w:szCs w:val="32"/>
        </w:rPr>
        <w:t xml:space="preserve">Codex Objections — Response Table</w:t>
      </w:r>
    </w:p>
    <w:p>
      <w:pPr>
        <w:spacing w:after="240" w:before="0"/>
        <w:jc w:val="center"/>
      </w:pPr>
      <w:r>
        <w:rPr>
          <w:rFonts w:ascii="Arial" w:cs="Arial" w:eastAsia="Arial" w:hAnsi="Arial"/>
          <w:color w:val="4A5568"/>
          <w:sz w:val="20"/>
          <w:szCs w:val="20"/>
        </w:rPr>
        <w:t xml:space="preserve">Pathlight Technical Architecture Document  ·  Kirrt Tech  ·  May 2026</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2B6CB0" w:sz="2"/>
              <w:left w:val="single" w:color="2B6CB0" w:sz="2"/>
              <w:bottom w:val="single" w:color="2B6CB0" w:sz="2"/>
              <w:right w:val="single" w:color="2B6CB0" w:sz="2"/>
            </w:tcBorders>
            <w:shd w:fill="EBF4FF" w:val="clear"/>
            <w:tcMar>
              <w:top w:type="dxa" w:w="160"/>
              <w:left w:type="dxa" w:w="240"/>
              <w:bottom w:type="dxa" w:w="160"/>
              <w:right w:type="dxa" w:w="240"/>
            </w:tcMar>
          </w:tcPr>
          <w:p>
            <w:r>
              <w:rPr>
                <w:rFonts w:ascii="Arial" w:cs="Arial" w:eastAsia="Arial" w:hAnsi="Arial"/>
                <w:b/>
                <w:bCs/>
                <w:color w:val="1A3C5E"/>
                <w:sz w:val="20"/>
                <w:szCs w:val="20"/>
              </w:rPr>
              <w:t xml:space="preserve">Codex overall verdict: </w:t>
            </w:r>
            <w:r>
              <w:rPr>
                <w:rFonts w:ascii="Arial" w:cs="Arial" w:eastAsia="Arial" w:hAnsi="Arial"/>
                <w:i/>
                <w:iCs/>
                <w:color w:val="1A3C5E"/>
                <w:sz w:val="20"/>
                <w:szCs w:val="20"/>
              </w:rPr>
              <w:t xml:space="preserve">"The TAD is directionally strong. The biggest holes are contract holes: business rule severity, reporter capability boundaries, event ownership, artifact capture, and run persistence. Fix these before writing stories."</w:t>
            </w:r>
          </w:p>
        </w:tc>
      </w:tr>
    </w:tbl>
    <w:p>
      <w:pPr>
        <w:spacing w:after="0" w:before="120"/>
      </w:pPr>
      <w:r>
        <w:rPr>
          <w:rFonts w:ascii="Arial" w:cs="Arial" w:eastAsia="Arial" w:hAnsi="Arial"/>
        </w:rPr>
        <w:t xml:space="preserve"/>
      </w:r>
    </w:p>
    <w:p>
      <w:pPr>
        <w:pStyle w:val="Heading1"/>
        <w:pBdr>
          <w:bottom w:val="single" w:color="2B6CB0" w:sz="6" w:space="6"/>
        </w:pBdr>
        <w:spacing w:after="160" w:before="360"/>
      </w:pPr>
      <w:r>
        <w:rPr>
          <w:rFonts w:ascii="Arial" w:cs="Arial" w:eastAsia="Arial" w:hAnsi="Arial"/>
        </w:rPr>
        <w:t xml:space="preserve">Summary</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FFF5F5" w:val="clear"/>
            <w:tcMar>
              <w:top w:type="dxa" w:w="140"/>
              <w:left w:type="dxa" w:w="180"/>
              <w:bottom w:type="dxa" w:w="140"/>
              <w:right w:type="dxa" w:w="180"/>
            </w:tcMar>
          </w:tcPr>
          <w:p>
            <w:pPr>
              <w:jc w:val="center"/>
            </w:pPr>
            <w:r>
              <w:rPr>
                <w:rFonts w:ascii="Arial" w:cs="Arial" w:eastAsia="Arial" w:hAnsi="Arial"/>
                <w:b/>
                <w:bCs/>
                <w:color w:val="9B2335"/>
                <w:sz w:val="56"/>
                <w:szCs w:val="56"/>
              </w:rPr>
              <w:t xml:space="preserve">12</w:t>
            </w:r>
          </w:p>
          <w:p>
            <w:pPr>
              <w:jc w:val="center"/>
            </w:pPr>
            <w:r>
              <w:rPr>
                <w:rFonts w:ascii="Arial" w:cs="Arial" w:eastAsia="Arial" w:hAnsi="Arial"/>
                <w:b/>
                <w:bCs/>
                <w:color w:val="9B2335"/>
                <w:sz w:val="20"/>
                <w:szCs w:val="20"/>
              </w:rPr>
              <w:t xml:space="preserve">FIX</w:t>
            </w:r>
          </w:p>
          <w:p>
            <w:pPr>
              <w:jc w:val="center"/>
            </w:pPr>
            <w:r>
              <w:rPr>
                <w:rFonts w:ascii="Arial" w:cs="Arial" w:eastAsia="Arial" w:hAnsi="Arial"/>
                <w:color w:val="4A5568"/>
                <w:sz w:val="16"/>
                <w:szCs w:val="16"/>
              </w:rPr>
              <w:t xml:space="preserve">Must fix before writing user stories</w:t>
            </w:r>
          </w:p>
        </w:tc>
        <w:tc>
          <w:tcPr>
            <w:tcW w:type="dxa" w:w="3120"/>
            <w:tcBorders>
              <w:top w:val="single" w:color="E2E8F0" w:sz="1"/>
              <w:left w:val="single" w:color="E2E8F0" w:sz="1"/>
              <w:bottom w:val="single" w:color="E2E8F0" w:sz="1"/>
              <w:right w:val="single" w:color="E2E8F0" w:sz="1"/>
            </w:tcBorders>
            <w:shd w:fill="EBF4FF" w:val="clear"/>
            <w:tcMar>
              <w:top w:type="dxa" w:w="140"/>
              <w:left w:type="dxa" w:w="180"/>
              <w:bottom w:type="dxa" w:w="140"/>
              <w:right w:type="dxa" w:w="180"/>
            </w:tcMar>
          </w:tcPr>
          <w:p>
            <w:pPr>
              <w:jc w:val="center"/>
            </w:pPr>
            <w:r>
              <w:rPr>
                <w:rFonts w:ascii="Arial" w:cs="Arial" w:eastAsia="Arial" w:hAnsi="Arial"/>
                <w:b/>
                <w:bCs/>
                <w:color w:val="2B6CB0"/>
                <w:sz w:val="56"/>
                <w:szCs w:val="56"/>
              </w:rPr>
              <w:t xml:space="preserve">3</w:t>
            </w:r>
          </w:p>
          <w:p>
            <w:pPr>
              <w:jc w:val="center"/>
            </w:pPr>
            <w:r>
              <w:rPr>
                <w:rFonts w:ascii="Arial" w:cs="Arial" w:eastAsia="Arial" w:hAnsi="Arial"/>
                <w:b/>
                <w:bCs/>
                <w:color w:val="2B6CB0"/>
                <w:sz w:val="20"/>
                <w:szCs w:val="20"/>
              </w:rPr>
              <w:t xml:space="preserve">PARTIAL</w:t>
            </w:r>
          </w:p>
          <w:p>
            <w:pPr>
              <w:jc w:val="center"/>
            </w:pPr>
            <w:r>
              <w:rPr>
                <w:rFonts w:ascii="Arial" w:cs="Arial" w:eastAsia="Arial" w:hAnsi="Arial"/>
                <w:color w:val="4A5568"/>
                <w:sz w:val="16"/>
                <w:szCs w:val="16"/>
              </w:rPr>
              <w:t xml:space="preserve">Correct direction, needs precision</w:t>
            </w:r>
          </w:p>
        </w:tc>
        <w:tc>
          <w:tcPr>
            <w:tcW w:type="dxa" w:w="3120"/>
            <w:tcBorders>
              <w:top w:val="single" w:color="E2E8F0" w:sz="1"/>
              <w:left w:val="single" w:color="E2E8F0" w:sz="1"/>
              <w:bottom w:val="single" w:color="E2E8F0" w:sz="1"/>
              <w:right w:val="single" w:color="E2E8F0" w:sz="1"/>
            </w:tcBorders>
            <w:shd w:fill="F0FFF4" w:val="clear"/>
            <w:tcMar>
              <w:top w:type="dxa" w:w="140"/>
              <w:left w:type="dxa" w:w="180"/>
              <w:bottom w:type="dxa" w:w="140"/>
              <w:right w:type="dxa" w:w="180"/>
            </w:tcMar>
          </w:tcPr>
          <w:p>
            <w:pPr>
              <w:jc w:val="center"/>
            </w:pPr>
            <w:r>
              <w:rPr>
                <w:rFonts w:ascii="Arial" w:cs="Arial" w:eastAsia="Arial" w:hAnsi="Arial"/>
                <w:b/>
                <w:bCs/>
                <w:color w:val="155E3A"/>
                <w:sz w:val="56"/>
                <w:szCs w:val="56"/>
              </w:rPr>
              <w:t xml:space="preserve">0</w:t>
            </w:r>
          </w:p>
          <w:p>
            <w:pPr>
              <w:jc w:val="center"/>
            </w:pPr>
            <w:r>
              <w:rPr>
                <w:rFonts w:ascii="Arial" w:cs="Arial" w:eastAsia="Arial" w:hAnsi="Arial"/>
                <w:b/>
                <w:bCs/>
                <w:color w:val="155E3A"/>
                <w:sz w:val="20"/>
                <w:szCs w:val="20"/>
              </w:rPr>
              <w:t xml:space="preserve">KEEP</w:t>
            </w:r>
          </w:p>
          <w:p>
            <w:pPr>
              <w:jc w:val="center"/>
            </w:pPr>
            <w:r>
              <w:rPr>
                <w:rFonts w:ascii="Arial" w:cs="Arial" w:eastAsia="Arial" w:hAnsi="Arial"/>
                <w:color w:val="4A5568"/>
                <w:sz w:val="16"/>
                <w:szCs w:val="16"/>
              </w:rPr>
              <w:t xml:space="preserve">Disagree — decision stands</w:t>
            </w:r>
          </w:p>
        </w:tc>
      </w:tr>
    </w:tbl>
    <w:p>
      <w:pPr>
        <w:spacing w:after="0" w:before="120"/>
      </w:pPr>
      <w:r>
        <w:rPr>
          <w:rFonts w:ascii="Arial" w:cs="Arial" w:eastAsia="Arial" w:hAnsi="Arial"/>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9B2335" w:sz="2"/>
              <w:left w:val="single" w:color="9B2335" w:sz="2"/>
              <w:bottom w:val="single" w:color="9B2335" w:sz="2"/>
              <w:right w:val="single" w:color="9B2335" w:sz="2"/>
            </w:tcBorders>
            <w:shd w:fill="FFF5F5" w:val="clear"/>
            <w:tcMar>
              <w:top w:type="dxa" w:w="160"/>
              <w:left w:type="dxa" w:w="240"/>
              <w:bottom w:type="dxa" w:w="160"/>
              <w:right w:type="dxa" w:w="240"/>
            </w:tcMar>
          </w:tcPr>
          <w:p>
            <w:r>
              <w:rPr>
                <w:rFonts w:ascii="Arial" w:cs="Arial" w:eastAsia="Arial" w:hAnsi="Arial"/>
                <w:b/>
                <w:bCs/>
                <w:color w:val="9B2335"/>
                <w:sz w:val="20"/>
                <w:szCs w:val="20"/>
              </w:rPr>
              <w:t xml:space="preserve">Honest assessment: </w:t>
            </w:r>
            <w:r>
              <w:rPr>
                <w:rFonts w:ascii="Arial" w:cs="Arial" w:eastAsia="Arial" w:hAnsi="Arial"/>
                <w:color w:val="9B2335"/>
                <w:sz w:val="20"/>
                <w:szCs w:val="20"/>
              </w:rPr>
              <w:t xml:space="preserve">Codex is right on every objection. All 15 are valid. There are no disagreements. The TAD needs a targeted revision pass on these 15 points before user stories are written. The good news: none require redesigning the architecture — all are contract clarifications, schema additions, and implementation spec gaps.</w:t>
            </w:r>
          </w:p>
        </w:tc>
      </w:tr>
    </w:tbl>
    <w:p>
      <w:pPr>
        <w:spacing w:after="0" w:before="160"/>
      </w:pPr>
      <w:r>
        <w:rPr>
          <w:rFonts w:ascii="Arial" w:cs="Arial" w:eastAsia="Arial" w:hAnsi="Arial"/>
        </w:rPr>
        <w:t xml:space="preserve"/>
      </w:r>
    </w:p>
    <w:p>
      <w:pPr>
        <w:pStyle w:val="Heading1"/>
        <w:pBdr>
          <w:bottom w:val="single" w:color="2B6CB0" w:sz="6" w:space="6"/>
        </w:pBdr>
        <w:spacing w:after="160" w:before="360"/>
      </w:pPr>
      <w:r>
        <w:rPr>
          <w:rFonts w:ascii="Arial" w:cs="Arial" w:eastAsia="Arial" w:hAnsi="Arial"/>
        </w:rPr>
        <w:t xml:space="preserve">All 15 Objections</w:t>
      </w:r>
    </w:p>
    <w:p>
      <w:pPr>
        <w:spacing w:after="0" w:before="80"/>
      </w:pPr>
      <w:r>
        <w:rPr>
          <w:rFonts w:ascii="Arial" w:cs="Arial" w:eastAsia="Arial" w:hAnsi="Arial"/>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20"/>
        <w:gridCol w:w="1200"/>
        <w:gridCol w:w="900"/>
        <w:gridCol w:w="2500"/>
        <w:gridCol w:w="4400"/>
        <w:gridCol w:w="2980"/>
      </w:tblGrid>
      <w:tr>
        <w:trPr>
          <w:tblHeader/>
        </w:trPr>
        <w:tc>
          <w:tcPr>
            <w:tcW w:type="dxa" w:w="42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Codex Objection</w:t>
            </w:r>
          </w:p>
        </w:tc>
        <w:tc>
          <w:tcPr>
            <w:tcW w:type="dxa" w:w="9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Decision</w:t>
            </w:r>
          </w:p>
        </w:tc>
        <w:tc>
          <w:tcPr>
            <w:tcW w:type="dxa" w:w="2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What is wrong</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Fix / Action</w:t>
            </w:r>
          </w:p>
        </w:tc>
        <w:tc>
          <w:tcPr>
            <w:tcW w:type="dxa" w:w="29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Risk if not fixed</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1</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color w:val="2D3748"/>
                <w:sz w:val="17"/>
                <w:szCs w:val="17"/>
              </w:rPr>
              <w:t xml:space="preserve">Business Rule model cannot support critical failures</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TAD §13.2 verdict logic requires critical severity, but §3.1 stores businessRules: string[] only — no ID, no severity, no coverage mapping.</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Replace string[] with a BusinessRule object: { id, label, severity: "low"|"medium"|"high"|"critical", description }. Update ManifestNode and the verdict computation in §13.2. Update domain glossary — Business Rule is currently defined without a severity field.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HIGH — the release verdict FAILED condition cannot be computed without it. Discovered in implementation, not upfront, means broken dashboard logic.</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2</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b/>
                <w:bCs/>
                <w:color w:val="2D3748"/>
                <w:sz w:val="17"/>
                <w:szCs w:val="17"/>
              </w:rPr>
              <w:t xml:space="preserve">"untested" used in TAD but absent from glossary</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TAD §3.1 and §12.2 reference "untested" as a NodeStatus. The glossary does not list it. The glossary rule states: if a term is not defined, it does not exist in Pathlight.</w:t>
            </w:r>
          </w:p>
        </w:tc>
        <w:tc>
          <w:tcPr>
            <w:tcW w:type="dxa" w:w="4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Add "untested" to the domain glossary Status table: "A manifest node that has no linked test file or was not executed in the most recent run." Confirm it is distinct from "pending" (pending = in the run queue; untested = never run or not linked).</w:t>
            </w:r>
          </w:p>
        </w:tc>
        <w:tc>
          <w:tcPr>
            <w:tcW w:type="dxa" w:w="298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LOW — single word fix, but the glossary rule was established as non-negotiable.</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3</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color w:val="2D3748"/>
                <w:sz w:val="17"/>
                <w:szCs w:val="17"/>
              </w:rPr>
              <w:t xml:space="preserve">Reporter "guarantees" test.queued but Playwright has no queue hook</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TAD §5.3 lists test.queued as guaranteed, fired "when Playwright queues the test (onTestBegin, before start)." onTestBegin is already test-start territory — there is no pre-queue callback in Playwright's reporter API.</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Drop test.queued from the guaranteed events list. Mark it as synthetic/optional: the server can synthesise a test.queued event when test.started arrives but no prior queued state exists, for UI display purposes only. Update the event schema — test.queued payload becomes optional.</w:t>
            </w:r>
          </w:p>
        </w:tc>
        <w:tc>
          <w:tcPr>
            <w:tcW w:type="dxa" w:w="29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MEDIUM — if a story is written against test.queued as guaranteed, the reporter implementation will fail to emit it.</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4</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b/>
                <w:bCs/>
                <w:color w:val="2D3748"/>
                <w:sz w:val="17"/>
                <w:szCs w:val="17"/>
              </w:rPr>
              <w:t xml:space="preserve">Artifact strategy overpromises reporter capability</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TAD §9.1 says the Reporter creates console-log and network-log artifacts. A Playwright reporter does not naturally receive page console or network events — these require browser fixtures, trace parsing, or explicit test instrumentation.</w:t>
            </w:r>
          </w:p>
        </w:tc>
        <w:tc>
          <w:tcPr>
            <w:tcW w:type="dxa" w:w="4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Reframe the artifact strategy: screenshots and traces are Playwright-native (reporter reads result.attachments). Console logs and network logs require one of: (a) a Pathlight test fixture that pipes events to the reporter, (b) post-run trace parsing, or (c) developer-added instrumentation. V1 scope: screenshots and traces only. Console and network logs are post-V1, added via a Pathlight fixture package.</w:t>
            </w:r>
          </w:p>
        </w:tc>
        <w:tc>
          <w:tcPr>
            <w:tcW w:type="dxa" w:w="298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HIGH — stories written against console-log and network-log capture in V1 will hit a hard implementation wall.</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5</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color w:val="2D3748"/>
                <w:sz w:val="17"/>
                <w:szCs w:val="17"/>
              </w:rPr>
              <w:t xml:space="preserve">Reporter injection mechanism is underspecified</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TAD §8.1 uses --reporter=@pathlight/playwright-reporter as a CLI arg, but §5.1 shows config-based options (runId, serverUrl). Playwright CLI reporter injection does not pass custom options — options only work via the config array.</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Define the V1 mechanism explicitly: the developer configures the reporter in playwright.config.ts as shown in §5.1. The Pathlight server, when spawning Playwright, generates a temporary overlay config file (pathlight.temp.config.ts) that adds the reporter with the correct runId and serverUrl. This file is written before the run and deleted after. Add this to the Runner Orchestration section.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HIGH — without this, the runner cannot inject the reporter with the correct runId per run.</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6</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b/>
                <w:bCs/>
                <w:color w:val="2D3748"/>
                <w:sz w:val="17"/>
                <w:szCs w:val="17"/>
              </w:rPr>
              <w:t xml:space="preserve">Event ID ownership collision risk</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TAD §3.4 says Event ID is assigned by the Reporter (evt_0001, evt_0002...). §6.3 introduces server-generated events (report.ready) that share the same SSE stream. The server cannot know the reporter's current counter, creating collision and replay ordering risk.</w:t>
            </w:r>
          </w:p>
        </w:tc>
        <w:tc>
          <w:tcPr>
            <w:tcW w:type="dxa" w:w="4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Two-namespace solution: reporter events keep evt_{N} format. Server-generated events use srv_{N} format (srv_0001, srv_0002). The SSE stream assigns a monotonic stream sequence (seq: N) to every message regardless of source — this is the replay key, not the eventId. Update §3.3 and §3.4.</w:t>
            </w:r>
          </w:p>
        </w:tc>
        <w:tc>
          <w:tcPr>
            <w:tcW w:type="dxa" w:w="298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MEDIUM — V1 is single-run single-user so collision is unlikely, but replay ordering on reconnect will misbehave if not resolved.</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7</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color w:val="2D3748"/>
                <w:sz w:val="17"/>
                <w:szCs w:val="17"/>
              </w:rPr>
              <w:t xml:space="preserve">report.ready is memory-only but user-visible</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TAD §6.3 says server-generated events are not persisted. If the browser connects after run.finished (late load, page refresh, reconnect), it will never receive report.ready and will not know the report exists.</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Add report metadata to the run state: GET /api/runs/:runId returns { reportPath, reportReady: boolean } when the report has been generated. index.html checks this on load and on every reconnect. Also add report.ready to the SSE event buffer (it is a server event but it is user-visible state that must survive reconnect).</w:t>
            </w:r>
          </w:p>
        </w:tc>
        <w:tc>
          <w:tcPr>
            <w:tcW w:type="dxa" w:w="29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MEDIUM — already observed as a timing edge case in the spike.</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8</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b/>
                <w:bCs/>
                <w:color w:val="2D3748"/>
                <w:sz w:val="17"/>
                <w:szCs w:val="17"/>
              </w:rPr>
              <w:t xml:space="preserve">Root-level events.jsonl is ambiguous across multiple runs</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TAD §6.3 uses a root events.jsonl for run restore. §9.2 also defines reports/{runId}/events.jsonl. With more than one run, the root file is an interleaved log of multiple runs with no clear boundary.</w:t>
            </w:r>
          </w:p>
        </w:tc>
        <w:tc>
          <w:tcPr>
            <w:tcW w:type="dxa" w:w="4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Remove the root-level events.jsonl entirely. The canonical per-run log is reports/{runId}/events.jsonl. The server writes to this file directly (not to a root file). On startup, the server reads the most recent run directory to restore state. Add a runs/index.json that maps runId to directory path for fast lookup.</w:t>
            </w:r>
          </w:p>
        </w:tc>
        <w:tc>
          <w:tcPr>
            <w:tcW w:type="dxa" w:w="298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LOW in V1 (single run, run_001 hardcoded), but the pattern will cause real bugs the moment a second run is started.</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9</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color w:val="2D3748"/>
                <w:sz w:val="17"/>
                <w:szCs w:val="17"/>
              </w:rPr>
              <w:t xml:space="preserve">Error taxonomy not represented in the event schema</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TAD §4.2 defines eight distinct error types (assertion_failure, timeout, setup_failure, etc.) that drive different UI behaviour — purple for blocked, red for assertion failure. TAD §3.3 test.failed payload only has error: string. The UI cannot distinguish them.</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Add errorType to the test.failed payload: { testId, duration, error, errorType: ErrorType, retryCount, workerId, isFinalAttempt }. The reporter maps Playwright result states to ErrorType: if result.status === "timedOut" → "timeout"; if error message contains beforeAll/beforeEach → "setup_failure"; etc. Document the mapping rules in the reporter contract.</w:t>
            </w:r>
          </w:p>
        </w:tc>
        <w:tc>
          <w:tcPr>
            <w:tcW w:type="dxa" w:w="29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HIGH — without this, the fishbone cannot display blocked (purple) vs failed (red), and the error taxonomy defined in §4.2 is documentation-only with no implementation path.</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10</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b/>
                <w:bCs/>
                <w:color w:val="2D3748"/>
                <w:sz w:val="17"/>
                <w:szCs w:val="17"/>
              </w:rPr>
              <w:t xml:space="preserve">Crash recovery event ownership is ambiguous</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TAD §8.3 says "the server emits run.abandoned," but §3.3 says reporter events have reporter-assigned IDs. The server synthesising a run.abandoned event needs a clear answer: what ID format, is it persisted to events.jsonl, does it replay via SSE.</w:t>
            </w:r>
          </w:p>
        </w:tc>
        <w:tc>
          <w:tcPr>
            <w:tcW w:type="dxa" w:w="4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Apply the two-namespace fix from objection 6: server-generated run.abandoned uses srv_{N} format. It IS persisted to reports/{runId}/events.jsonl (it is a legitimate run state change). It IS broadcast via SSE and included in the replay buffer. The server state machine transitions to abandoned and GET /api/runs/:runId returns status: "abandoned".</w:t>
            </w:r>
          </w:p>
        </w:tc>
        <w:tc>
          <w:tcPr>
            <w:tcW w:type="dxa" w:w="298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MEDIUM — without this, the run state machine has an undefined transition.</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11</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color w:val="2D3748"/>
                <w:sz w:val="17"/>
                <w:szCs w:val="17"/>
              </w:rPr>
              <w:t xml:space="preserve">"Does not modify test code" is too absolute</w:t>
            </w:r>
          </w:p>
        </w:tc>
        <w:tc>
          <w:tcPr>
            <w:tcW w:type="dxa" w:w="9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B6CB0"/>
                <w:sz w:val="16"/>
                <w:szCs w:val="16"/>
              </w:rPr>
              <w:t xml:space="preserve">PARTIAL</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TAD §1 says "Pathlight does not modify test code." Workflow §2.2 requires developers to add @pathlight: tags to test titles. This is technically correct but misleading — it implies zero developer action is needed.</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Rewording only: change to "Pathlight does not automatically modify user code. The developer intentionally adds @pathlight: mapping tags to test titles once per test." No architectural change needed.</w:t>
            </w:r>
          </w:p>
        </w:tc>
        <w:tc>
          <w:tcPr>
            <w:tcW w:type="dxa" w:w="29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LOW — wording issue only.</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12</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b/>
                <w:bCs/>
                <w:color w:val="2D3748"/>
                <w:sz w:val="17"/>
                <w:szCs w:val="17"/>
              </w:rPr>
              <w:t xml:space="preserve">Success metric "100% event delivery" contradicts accepted limitation</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TAD §15 targets "100% of events delivered." TAD §17 explicitly accepts "dropped reporter events not retried in V1." These directly contradict each other. The metric is unmeetable under the stated architecture.</w:t>
            </w:r>
          </w:p>
        </w:tc>
        <w:tc>
          <w:tcPr>
            <w:tcW w:type="dxa" w:w="4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Change the metric to: "100% of events delivered when the Pathlight server remains reachable during the run." Add a second metric: "Zero events dropped when server is reachable — verified by comparing reporter event counter against events.jsonl line count." The unreachable-server case is a V1 known limitation, not a metric failure.</w:t>
            </w:r>
          </w:p>
        </w:tc>
        <w:tc>
          <w:tcPr>
            <w:tcW w:type="dxa" w:w="298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LOW — internal contradiction only, but a metric you cannot meet is worse than no metric.</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13</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color w:val="2D3748"/>
                <w:sz w:val="17"/>
                <w:szCs w:val="17"/>
              </w:rPr>
              <w:t xml:space="preserve">JIRA integration has implementation gaps</w:t>
            </w:r>
          </w:p>
        </w:tc>
        <w:tc>
          <w:tcPr>
            <w:tcW w:type="dxa" w:w="9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B6CB0"/>
                <w:sz w:val="16"/>
                <w:szCs w:val="16"/>
              </w:rPr>
              <w:t xml:space="preserve">PARTIAL</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TAD §11.1 omits: (a) Atlassian cloudId discovery (required for v3 API calls), (b) token file permissions, (c) refresh failure behaviour, (d) the JQL sprint in openSprints() excludes backlog and done stories needed for a full stage manifest.</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(a) Add cloudId discovery step: GET https://api.atlassian.com/oauth/token/accessible-resources after auth. Store cloudId alongside tokens. (b) Token file: chmod 600 on write. (c) Refresh failure: surface a "JIRA connection expired — reconnect" error in the UI, do not silently fail. (d) JQL: make the query configurable in pathlight.config.json with openSprints() as the default but not the only option.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MEDIUM — without cloudId discovery the JIRA v3 API calls will all fail. The JQL issue only affects teams with stories outside the current sprint.</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14</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b/>
                <w:bCs/>
                <w:color w:val="2D3748"/>
                <w:sz w:val="17"/>
                <w:szCs w:val="17"/>
              </w:rPr>
              <w:t xml:space="preserve">LLM model name hardcoded in architecture</w:t>
            </w:r>
          </w:p>
        </w:tc>
        <w:tc>
          <w:tcPr>
            <w:tcW w:type="dxa" w:w="9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B6CB0"/>
                <w:sz w:val="16"/>
                <w:szCs w:val="16"/>
              </w:rPr>
              <w:t xml:space="preserve">PARTIAL</w:t>
            </w:r>
          </w:p>
        </w:tc>
        <w:tc>
          <w:tcPr>
            <w:tcW w:type="dxa" w:w="2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TAD §10.2 names claude-sonnet-4-6 as the model. Model names change. This reads as an architectural default rather than a configurable example.</w:t>
            </w:r>
          </w:p>
        </w:tc>
        <w:tc>
          <w:tcPr>
            <w:tcW w:type="dxa" w:w="4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In the TAD code example, add a comment: "// Model is configurable — this is the V1 default, not a hardcoded value." Add to pathlight.config.json schema: { "ai": { "provider": "claude", "model": "claude-sonnet-4-6" } } with a note that the model field is required and must be updated when the provider releases new versions. No interface change needed.</w:t>
            </w:r>
          </w:p>
        </w:tc>
        <w:tc>
          <w:tcPr>
            <w:tcW w:type="dxa" w:w="298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vAlign w:val="top"/>
          </w:tcPr>
          <w:p>
            <w:r>
              <w:rPr>
                <w:rFonts w:ascii="Arial" w:cs="Arial" w:eastAsia="Arial" w:hAnsi="Arial"/>
                <w:color w:val="4A5568"/>
                <w:sz w:val="17"/>
                <w:szCs w:val="17"/>
              </w:rPr>
              <w:t xml:space="preserve">LOW — the provider interface is already correct. This is a documentation clarification.</w:t>
            </w:r>
          </w:p>
        </w:tc>
      </w:tr>
      <w:tr>
        <w:tc>
          <w:tcPr>
            <w:tcW w:type="dxa" w:w="420"/>
            <w:tcBorders>
              <w:top w:val="single" w:color="E2E8F0" w:sz="1"/>
              <w:left w:val="single" w:color="E2E8F0" w:sz="1"/>
              <w:bottom w:val="single" w:color="E2E8F0" w:sz="1"/>
              <w:right w:val="single" w:color="E2E8F0" w:sz="1"/>
            </w:tcBorders>
            <w:shd w:fill="F7F8FA" w:val="clear"/>
            <w:tcMar>
              <w:top w:type="dxa" w:w="80"/>
              <w:left w:type="dxa" w:w="100"/>
              <w:bottom w:type="dxa" w:w="80"/>
              <w:right w:type="dxa" w:w="100"/>
            </w:tcMar>
            <w:vAlign w:val="center"/>
          </w:tcPr>
          <w:p>
            <w:pPr>
              <w:jc w:val="center"/>
            </w:pPr>
            <w:r>
              <w:rPr>
                <w:rFonts w:ascii="Arial" w:cs="Arial" w:eastAsia="Arial" w:hAnsi="Arial"/>
                <w:b/>
                <w:bCs/>
                <w:color w:val="4A5568"/>
                <w:sz w:val="18"/>
                <w:szCs w:val="18"/>
              </w:rPr>
              <w:t xml:space="preserve">15</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color w:val="2D3748"/>
                <w:sz w:val="17"/>
                <w:szCs w:val="17"/>
              </w:rPr>
              <w:t xml:space="preserve">Fishbone snapshot mechanism absent from dashboard spec</w:t>
            </w:r>
          </w:p>
        </w:tc>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9B2335"/>
                <w:sz w:val="16"/>
                <w:szCs w:val="16"/>
              </w:rPr>
              <w:t xml:space="preserve">FIX</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The domain glossary defines Dashboard as including "fishbone final state as an image." TAD §13.1 lists dashboard sections but does not specify how the fishbone snapshot is generated. The two documents contradict each other.</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Two options: (a) Add the mechanism — after run.finished, the server sends a message to the browser to capture the SVG as a PNG using the Canvas API and POST it back. Store as reports/{runId}/fishbone-snapshot.png. Reference in report.html. (b) Simpler: embed the SVG directly in report.html as an inline SVG, using the final run state from summary.json to render the coloured fishbone statically. Option (b) is V1. Option (a) is post-V1. Update the glossary to match whichever is chosen.</w:t>
            </w:r>
          </w:p>
        </w:tc>
        <w:tc>
          <w:tcPr>
            <w:tcW w:type="dxa" w:w="29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color w:val="4A5568"/>
                <w:sz w:val="17"/>
                <w:szCs w:val="17"/>
              </w:rPr>
              <w:t xml:space="preserve">MEDIUM — the glossary and TAD contradict each other on a user-visible feature.</w:t>
            </w:r>
          </w:p>
        </w:tc>
      </w:tr>
    </w:tbl>
    <w:p>
      <w:pPr>
        <w:spacing w:after="0" w:before="200"/>
      </w:pPr>
      <w:r>
        <w:rPr>
          <w:rFonts w:ascii="Arial" w:cs="Arial" w:eastAsia="Arial" w:hAnsi="Arial"/>
        </w:rPr>
        <w:t xml:space="preserve"/>
      </w:r>
    </w:p>
    <w:p>
      <w:pPr>
        <w:pStyle w:val="Heading1"/>
        <w:pBdr>
          <w:bottom w:val="single" w:color="2B6CB0" w:sz="6" w:space="6"/>
        </w:pBdr>
        <w:spacing w:after="160" w:before="360"/>
      </w:pPr>
      <w:r>
        <w:rPr>
          <w:rFonts w:ascii="Arial" w:cs="Arial" w:eastAsia="Arial" w:hAnsi="Arial"/>
        </w:rPr>
        <w:t xml:space="preserve">Recommended Fix Order</w:t>
      </w:r>
    </w:p>
    <w:p>
      <w:pPr>
        <w:spacing w:after="0" w:before="80"/>
      </w:pPr>
      <w:r>
        <w:rPr>
          <w:rFonts w:ascii="Arial" w:cs="Arial" w:eastAsia="Arial" w:hAnsi="Arial"/>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120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pPr>
              <w:jc w:val="center"/>
            </w:pPr>
            <w:r>
              <w:rPr>
                <w:rFonts w:ascii="Arial" w:cs="Arial" w:eastAsia="Arial" w:hAnsi="Arial"/>
                <w:b/>
                <w:bCs/>
                <w:color w:val="FFFFFF"/>
              </w:rPr>
              <w:t xml:space="preserve">Order</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Objection</w:t>
            </w:r>
          </w:p>
        </w:tc>
        <w:tc>
          <w:tcPr>
            <w:tcW w:type="dxa" w:w="112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Why first</w:t>
            </w:r>
          </w:p>
        </w:tc>
      </w:tr>
      <w:tr>
        <w:tc>
          <w:tcPr>
            <w:tcW w:type="dxa" w:w="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b/>
                <w:bCs/>
                <w:color w:val="1A3C5E"/>
                <w:sz w:val="17"/>
                <w:szCs w:val="17"/>
              </w:rPr>
              <w:t xml:space="preserve">1 — Fix first</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b/>
                <w:bCs/>
                <w:color w:val="4A5568"/>
                <w:sz w:val="17"/>
                <w:szCs w:val="17"/>
              </w:rPr>
              <w:t xml:space="preserve">#9 errorType in event schema</w:t>
            </w:r>
          </w:p>
        </w:tc>
        <w:tc>
          <w:tcPr>
            <w:tcW w:type="dxa" w:w="112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7"/>
                <w:szCs w:val="17"/>
              </w:rPr>
              <w:t xml:space="preserve">The test.failed payload shape is foundational. Every story about the fishbone colour, evidence panel, and error display depends on it. Fix the schema now, before a single story is written against test.failed.</w:t>
            </w:r>
          </w:p>
        </w:tc>
      </w:tr>
      <w:tr>
        <w:tc>
          <w:tcPr>
            <w:tcW w:type="dxa" w:w="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1A3C5E"/>
                <w:sz w:val="17"/>
                <w:szCs w:val="17"/>
              </w:rPr>
              <w:t xml:space="preserve">2</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7"/>
                <w:szCs w:val="17"/>
              </w:rPr>
              <w:t xml:space="preserve">#1 BusinessRule object</w:t>
            </w:r>
          </w:p>
        </w:tc>
        <w:tc>
          <w:tcPr>
            <w:tcW w:type="dxa" w:w="112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7"/>
                <w:szCs w:val="17"/>
              </w:rPr>
              <w:t xml:space="preserve">The release verdict logic in §13.2 cannot be implemented without severity. Affects dashboard stories, business rule coverage stories, and the FAILED condition.</w:t>
            </w:r>
          </w:p>
        </w:tc>
      </w:tr>
      <w:tr>
        <w:tc>
          <w:tcPr>
            <w:tcW w:type="dxa" w:w="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b/>
                <w:bCs/>
                <w:color w:val="1A3C5E"/>
                <w:sz w:val="17"/>
                <w:szCs w:val="17"/>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b/>
                <w:bCs/>
                <w:color w:val="4A5568"/>
                <w:sz w:val="17"/>
                <w:szCs w:val="17"/>
              </w:rPr>
              <w:t xml:space="preserve">#5 Reporter injection mechanism</w:t>
            </w:r>
          </w:p>
        </w:tc>
        <w:tc>
          <w:tcPr>
            <w:tcW w:type="dxa" w:w="112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7"/>
                <w:szCs w:val="17"/>
              </w:rPr>
              <w:t xml:space="preserve">Without a defined mechanism for injecting the reporter with runId and serverUrl, the runner orchestration stories have no implementation path. Blocks all runner stories.</w:t>
            </w:r>
          </w:p>
        </w:tc>
      </w:tr>
      <w:tr>
        <w:tc>
          <w:tcPr>
            <w:tcW w:type="dxa" w:w="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1A3C5E"/>
                <w:sz w:val="17"/>
                <w:szCs w:val="17"/>
              </w:rPr>
              <w:t xml:space="preserve">4</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7"/>
                <w:szCs w:val="17"/>
              </w:rPr>
              <w:t xml:space="preserve">#6 + #10 Event ID namespaces</w:t>
            </w:r>
          </w:p>
        </w:tc>
        <w:tc>
          <w:tcPr>
            <w:tcW w:type="dxa" w:w="112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7"/>
                <w:szCs w:val="17"/>
              </w:rPr>
              <w:t xml:space="preserve">Resolving event ID ownership (reporter vs server) and crash recovery event ownership together — they are the same problem. Unblock SSE replay and run state machine stories.</w:t>
            </w:r>
          </w:p>
        </w:tc>
      </w:tr>
      <w:tr>
        <w:tc>
          <w:tcPr>
            <w:tcW w:type="dxa" w:w="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b/>
                <w:bCs/>
                <w:color w:val="1A3C5E"/>
                <w:sz w:val="17"/>
                <w:szCs w:val="17"/>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b/>
                <w:bCs/>
                <w:color w:val="4A5568"/>
                <w:sz w:val="17"/>
                <w:szCs w:val="17"/>
              </w:rPr>
              <w:t xml:space="preserve">#8 Per-run events.jsonl</w:t>
            </w:r>
          </w:p>
        </w:tc>
        <w:tc>
          <w:tcPr>
            <w:tcW w:type="dxa" w:w="112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7"/>
                <w:szCs w:val="17"/>
              </w:rPr>
              <w:t xml:space="preserve">Remove the root-level events.jsonl ambiguity now. Every persistence story depends on knowing where the canonical log lives.</w:t>
            </w:r>
          </w:p>
        </w:tc>
      </w:tr>
      <w:tr>
        <w:tc>
          <w:tcPr>
            <w:tcW w:type="dxa" w:w="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1A3C5E"/>
                <w:sz w:val="17"/>
                <w:szCs w:val="17"/>
              </w:rPr>
              <w:t xml:space="preserve">6</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7"/>
                <w:szCs w:val="17"/>
              </w:rPr>
              <w:t xml:space="preserve">#4 Artifact scope</w:t>
            </w:r>
          </w:p>
        </w:tc>
        <w:tc>
          <w:tcPr>
            <w:tcW w:type="dxa" w:w="112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7"/>
                <w:szCs w:val="17"/>
              </w:rPr>
              <w:t xml:space="preserve">Reframe console-log and network-log as post-V1 before any artifact stories are written. Otherwise stories will be scoped incorrectly.</w:t>
            </w:r>
          </w:p>
        </w:tc>
      </w:tr>
      <w:tr>
        <w:tc>
          <w:tcPr>
            <w:tcW w:type="dxa" w:w="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b/>
                <w:bCs/>
                <w:color w:val="1A3C5E"/>
                <w:sz w:val="17"/>
                <w:szCs w:val="17"/>
              </w:rPr>
              <w:t xml:space="preserve">7</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b/>
                <w:bCs/>
                <w:color w:val="4A5568"/>
                <w:sz w:val="17"/>
                <w:szCs w:val="17"/>
              </w:rPr>
              <w:t xml:space="preserve">#13 JIRA cloudId gap</w:t>
            </w:r>
          </w:p>
        </w:tc>
        <w:tc>
          <w:tcPr>
            <w:tcW w:type="dxa" w:w="112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7"/>
                <w:szCs w:val="17"/>
              </w:rPr>
              <w:t xml:space="preserve">CloudId discovery is required for any JIRA API call to work. Fix before JIRA connector stories are written.</w:t>
            </w:r>
          </w:p>
        </w:tc>
      </w:tr>
      <w:tr>
        <w:tc>
          <w:tcPr>
            <w:tcW w:type="dxa" w:w="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1A3C5E"/>
                <w:sz w:val="17"/>
                <w:szCs w:val="17"/>
              </w:rPr>
              <w:t xml:space="preserve">8</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7"/>
                <w:szCs w:val="17"/>
              </w:rPr>
              <w:t xml:space="preserve">#15 Fishbone snapshot</w:t>
            </w:r>
          </w:p>
        </w:tc>
        <w:tc>
          <w:tcPr>
            <w:tcW w:type="dxa" w:w="112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7"/>
                <w:szCs w:val="17"/>
              </w:rPr>
              <w:t xml:space="preserve">Decide: inline SVG in report (V1) or canvas capture (post-V1). Update glossary and TAD consistently. Then write dashboard stories.</w:t>
            </w:r>
          </w:p>
        </w:tc>
      </w:tr>
      <w:tr>
        <w:tc>
          <w:tcPr>
            <w:tcW w:type="dxa" w:w="8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b/>
                <w:bCs/>
                <w:color w:val="1A3C5E"/>
                <w:sz w:val="17"/>
                <w:szCs w:val="17"/>
              </w:rPr>
              <w:t xml:space="preserve">9</w:t>
            </w:r>
          </w:p>
        </w:tc>
        <w:tc>
          <w:tcPr>
            <w:tcW w:type="dxa" w:w="24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b/>
                <w:bCs/>
                <w:color w:val="4A5568"/>
                <w:sz w:val="17"/>
                <w:szCs w:val="17"/>
              </w:rPr>
              <w:t xml:space="preserve">#7 report.ready persistence</w:t>
            </w:r>
          </w:p>
        </w:tc>
        <w:tc>
          <w:tcPr>
            <w:tcW w:type="dxa" w:w="1120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4A5568"/>
                <w:sz w:val="17"/>
                <w:szCs w:val="17"/>
              </w:rPr>
              <w:t xml:space="preserve">Add reportReady field to GET /api/runs/:runId. Small change, prevents a user-visible bug.</w:t>
            </w:r>
          </w:p>
        </w:tc>
      </w:tr>
      <w:tr>
        <w:tc>
          <w:tcPr>
            <w:tcW w:type="dxa" w:w="8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1A3C5E"/>
                <w:sz w:val="17"/>
                <w:szCs w:val="17"/>
              </w:rPr>
              <w:t xml:space="preserve">10 — Last</w:t>
            </w:r>
          </w:p>
        </w:tc>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7"/>
                <w:szCs w:val="17"/>
              </w:rPr>
              <w:t xml:space="preserve">#3 test.queued, #2 untested, #11 wording, #12 metric, #14 model name</w:t>
            </w:r>
          </w:p>
        </w:tc>
        <w:tc>
          <w:tcPr>
            <w:tcW w:type="dxa" w:w="112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color w:val="4A5568"/>
                <w:sz w:val="17"/>
                <w:szCs w:val="17"/>
              </w:rPr>
              <w:t xml:space="preserve">Minor clarifications. Do them together in one TAD revision pass.</w:t>
            </w:r>
          </w:p>
        </w:tc>
      </w:tr>
    </w:tbl>
    <w:p>
      <w:pPr>
        <w:spacing w:after="0" w:before="200"/>
      </w:pPr>
      <w:r>
        <w:rPr>
          <w:rFonts w:ascii="Arial" w:cs="Arial" w:eastAsia="Arial" w:hAnsi="Arial"/>
        </w:rPr>
        <w:t xml:space="preserve"/>
      </w:r>
    </w:p>
    <w:p>
      <w:pPr>
        <w:pBdr>
          <w:top w:val="single" w:color="E2E8F0" w:sz="2" w:space="8"/>
        </w:pBdr>
        <w:spacing w:before="160"/>
        <w:jc w:val="center"/>
      </w:pPr>
      <w:r>
        <w:rPr>
          <w:rFonts w:ascii="Arial" w:cs="Arial" w:eastAsia="Arial" w:hAnsi="Arial"/>
          <w:i/>
          <w:iCs/>
          <w:color w:val="4A5568"/>
          <w:sz w:val="16"/>
          <w:szCs w:val="16"/>
        </w:rPr>
        <w:t xml:space="preserve">Pathlight · TAD Review · Codex Objections Response · Kirrt Tech · May 2026  ·  FIX: 12  PARTIAL: 3  KEEP: 0</w:t>
      </w:r>
    </w:p>
    <w:sectPr>
      <w:headerReference w:type="default" r:id="rId7"/>
      <w:pgSz w:w="21000" w:h="2970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after="0"/>
    </w:pPr>
    <w:r>
      <w:rPr>
        <w:rFonts w:ascii="Arial" w:cs="Arial" w:eastAsia="Arial" w:hAnsi="Arial"/>
        <w:b/>
        <w:bCs/>
        <w:color w:val="2B6CB0"/>
        <w:sz w:val="18"/>
        <w:szCs w:val="18"/>
      </w:rPr>
      <w:t xml:space="preserve">PATHLIGHT</w:t>
    </w:r>
    <w:r>
      <w:rPr>
        <w:rFonts w:ascii="Arial" w:cs="Arial" w:eastAsia="Arial" w:hAnsi="Arial"/>
        <w:color w:val="4A5568"/>
        <w:sz w:val="16"/>
        <w:szCs w:val="16"/>
      </w:rPr>
      <w:t xml:space="preserve">   |   TAD Review — Codex Objections Response Table   |   Kirrt Tech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2026-05-20T22:50:44.016Z</dcterms:created>
  <dcterms:modified xsi:type="dcterms:W3CDTF">2026-05-20T22:50:44.032Z</dcterms:modified>
</cp:coreProperties>
</file>

<file path=docProps/custom.xml><?xml version="1.0" encoding="utf-8"?>
<Properties xmlns="http://schemas.openxmlformats.org/officeDocument/2006/custom-properties" xmlns:vt="http://schemas.openxmlformats.org/officeDocument/2006/docPropsVTypes"/>
</file>