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280"/>
        <w:jc w:val="center"/>
      </w:pPr>
      <w:r>
        <w:rPr>
          <w:rFonts w:ascii="Arial" w:cs="Arial" w:eastAsia="Arial" w:hAnsi="Arial"/>
          <w:b/>
          <w:bCs/>
          <w:color w:val="1A3C5E"/>
          <w:sz w:val="64"/>
          <w:szCs w:val="64"/>
        </w:rPr>
        <w:t xml:space="preserve">PATHLIGHT</w:t>
      </w:r>
    </w:p>
    <w:p>
      <w:pPr>
        <w:spacing w:after="60" w:before="0"/>
        <w:jc w:val="center"/>
      </w:pPr>
      <w:r>
        <w:rPr>
          <w:rFonts w:ascii="Arial" w:cs="Arial" w:eastAsia="Arial" w:hAnsi="Arial"/>
          <w:color w:val="2B6CB0"/>
          <w:sz w:val="34"/>
          <w:szCs w:val="34"/>
        </w:rPr>
        <w:t xml:space="preserve">Technical Architecture Document</w:t>
      </w:r>
    </w:p>
    <w:p>
      <w:pPr>
        <w:spacing w:after="240" w:before="0"/>
        <w:jc w:val="center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Version 0.3 — Pre Sign-off  ·  Kirrt Tech  ·  May 2026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4A5568"/>
                <w:sz w:val="19"/>
                <w:szCs w:val="19"/>
              </w:rPr>
              <w:t xml:space="preserve">Status</w:t>
            </w:r>
          </w:p>
        </w:tc>
        <w:tc>
          <w:tcPr>
            <w:tcW w:type="dxa" w:w="6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Pre sign-off. All 39 Codex review items addressed across three rounds. Pending: Domain Glossary v1.1 update (§18 checklist).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4A5568"/>
                <w:sz w:val="19"/>
                <w:szCs w:val="19"/>
              </w:rPr>
              <w:t xml:space="preserve">Supersedes</w:t>
            </w:r>
          </w:p>
        </w:tc>
        <w:tc>
          <w:tcPr>
            <w:tcW w:type="dxa" w:w="6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TAD v0.2 — do not use v0.2 or v0.1 for story writing.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4A5568"/>
                <w:sz w:val="19"/>
                <w:szCs w:val="19"/>
              </w:rPr>
              <w:t xml:space="preserve">Spike result</w:t>
            </w:r>
          </w:p>
        </w:tc>
        <w:tc>
          <w:tcPr>
            <w:tcW w:type="dxa" w:w="6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All four assumptions A1–A4 confirmed. Grey → amber → green observed in browser.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4A5568"/>
                <w:sz w:val="19"/>
                <w:szCs w:val="19"/>
              </w:rPr>
              <w:t xml:space="preserve">Depends on</w:t>
            </w:r>
          </w:p>
        </w:tc>
        <w:tc>
          <w:tcPr>
            <w:tcW w:type="dxa" w:w="6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Domain Glossary v1.1 (pending — 5 items in §18). ZovKu PRD v1.5.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4A5568"/>
                <w:sz w:val="19"/>
                <w:szCs w:val="19"/>
              </w:rPr>
              <w:t xml:space="preserve">Owner</w:t>
            </w:r>
          </w:p>
        </w:tc>
        <w:tc>
          <w:tcPr>
            <w:tcW w:type="dxa" w:w="6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Inder — Kirrt Tech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4A5568"/>
                <w:sz w:val="19"/>
                <w:szCs w:val="19"/>
              </w:rPr>
              <w:t xml:space="preserve">Build rule</w:t>
            </w:r>
          </w:p>
        </w:tc>
        <w:tc>
          <w:tcPr>
            <w:tcW w:type="dxa" w:w="6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PRD → User Stories → TDD. No story written until this document is signed off.</w:t>
            </w:r>
          </w:p>
        </w:tc>
      </w:tr>
    </w:tbl>
    <w:p>
      <w:pPr>
        <w:spacing w:after="0" w:before="200"/>
      </w:pPr>
      <w:r>
        <w:rPr>
          <w:rFonts w:ascii="Arial" w:cs="Arial" w:eastAsia="Arial" w:hAnsi="Arial"/>
        </w:rPr>
        <w:t xml:space="preserve"/>
      </w:r>
    </w:p>
    <w:p>
      <w:pPr>
        <w:pStyle w:val="Heading1"/>
        <w:pBdr>
          <w:bottom w:val="single" w:color="2B6CB0" w:sz="6" w:space="6"/>
        </w:pBdr>
        <w:spacing w:after="160" w:before="400"/>
      </w:pPr>
      <w:r>
        <w:rPr>
          <w:rFonts w:ascii="Arial" w:cs="Arial" w:eastAsia="Arial" w:hAnsi="Arial"/>
        </w:rPr>
        <w:t xml:space="preserve">Changes from v0.2 → v0.3</w:t>
      </w:r>
    </w:p>
    <w:p>
      <w:pPr>
        <w:spacing w:after="0" w:before="8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6560"/>
        <w:gridCol w:w="2400"/>
      </w:tblGrid>
      <w:tr>
        <w:trPr>
          <w:tblHeader/>
        </w:trPr>
        <w:tc>
          <w:tcPr>
            <w:tcW w:type="dxa" w:w="40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#</w:t>
            </w:r>
          </w:p>
        </w:tc>
        <w:tc>
          <w:tcPr>
            <w:tcW w:type="dxa" w:w="656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Change</w:t>
            </w:r>
          </w:p>
        </w:tc>
        <w:tc>
          <w:tcPr>
            <w:tcW w:type="dxa" w:w="240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Section</w:t>
            </w:r>
          </w:p>
        </w:tc>
      </w:tr>
      <w:tr>
        <w:tc>
          <w:tcPr>
            <w:tcW w:type="dxa" w:w="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1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Event schema split: ReporterEventInput (no seq) vs StoredPathlightEvent (server-assigned seq).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§3.4</w:t>
            </w:r>
          </w:p>
        </w:tc>
      </w:tr>
      <w:tr>
        <w:tc>
          <w:tcPr>
            <w:tcW w:type="dxa" w:w="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2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Release verdict: high severity = FAILED.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§13.2</w:t>
            </w:r>
          </w:p>
        </w:tc>
      </w:tr>
      <w:tr>
        <w:tc>
          <w:tcPr>
            <w:tcW w:type="dxa" w:w="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3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Release verdict: uncovered/untested critical or high rules = FAILED.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§13.2</w:t>
            </w:r>
          </w:p>
        </w:tc>
      </w:tr>
      <w:tr>
        <w:tc>
          <w:tcPr>
            <w:tcW w:type="dxa" w:w="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4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Verdict: RUN SCOPE FILTER — partial suite runs only evaluate in-scope rules. Out-of-scope rules do not affect verdict.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§13.2</w:t>
            </w:r>
          </w:p>
        </w:tc>
      </w:tr>
      <w:tr>
        <w:tc>
          <w:tcPr>
            <w:tcW w:type="dxa" w:w="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5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artifact.created: optional from reporter. Dashboard Publisher scans configurable output dir.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§5.3, §9, §13</w:t>
            </w:r>
          </w:p>
        </w:tc>
      </w:tr>
      <w:tr>
        <w:tc>
          <w:tcPr>
            <w:tcW w:type="dxa" w:w="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6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test.skipped: explicit test.skip() only. Filtered tests = untested.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§5.3, §3.2</w:t>
            </w:r>
          </w:p>
        </w:tc>
      </w:tr>
      <w:tr>
        <w:tc>
          <w:tcPr>
            <w:tcW w:type="dxa" w:w="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7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queued removed from V1 NodeStatus entirely.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§3.2</w:t>
            </w:r>
          </w:p>
        </w:tc>
      </w:tr>
      <w:tr>
        <w:tc>
          <w:tcPr>
            <w:tcW w:type="dxa" w:w="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8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Attempt ID standardised: {testId}_{runId}_att_{N}.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§3.5</w:t>
            </w:r>
          </w:p>
        </w:tc>
      </w:tr>
      <w:tr>
        <w:tc>
          <w:tcPr>
            <w:tcW w:type="dxa" w:w="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9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seq restart: max(persisted seq) + 1 on server restart.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§6.3</w:t>
            </w:r>
          </w:p>
        </w:tc>
      </w:tr>
      <w:tr>
        <w:tc>
          <w:tcPr>
            <w:tcW w:type="dxa" w:w="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10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Unknown testId: rejected before persistence. 202 { received: false }.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§6.3</w:t>
            </w:r>
          </w:p>
        </w:tc>
      </w:tr>
      <w:tr>
        <w:tc>
          <w:tcPr>
            <w:tcW w:type="dxa" w:w="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11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Concurrent runs: V1 enforces one active run. POST /api/runs returns 409 if active.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§7</w:t>
            </w:r>
          </w:p>
        </w:tc>
      </w:tr>
      <w:tr>
        <w:tc>
          <w:tcPr>
            <w:tcW w:type="dxa" w:w="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12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Playwright outputDir: read from pathlight.config.json. Falls back to test-results/.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§9.1</w:t>
            </w:r>
          </w:p>
        </w:tc>
      </w:tr>
      <w:tr>
        <w:tc>
          <w:tcPr>
            <w:tcW w:type="dxa" w:w="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13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Appendix A: ZovKu business rules registry — derived from PRD v1.5.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Appendix A</w:t>
            </w:r>
          </w:p>
        </w:tc>
      </w:tr>
    </w:tbl>
    <w:p>
      <w:pPr>
        <w:spacing w:after="0" w:before="280"/>
      </w:pPr>
      <w:r>
        <w:rPr>
          <w:rFonts w:ascii="Arial" w:cs="Arial" w:eastAsia="Arial" w:hAnsi="Arial"/>
        </w:rPr>
        <w:t xml:space="preserve"/>
      </w:r>
    </w:p>
    <w:p>
      <w:r>
        <w:br w:type="page"/>
      </w:r>
    </w:p>
    <w:p>
      <w:pPr>
        <w:pStyle w:val="Heading1"/>
        <w:pBdr>
          <w:bottom w:val="single" w:color="2B6CB0" w:sz="6" w:space="6"/>
        </w:pBdr>
        <w:spacing w:after="160" w:before="400"/>
      </w:pPr>
      <w:r>
        <w:rPr>
          <w:rFonts w:ascii="Arial" w:cs="Arial" w:eastAsia="Arial" w:hAnsi="Arial"/>
        </w:rPr>
        <w:t xml:space="preserve">1. Architecture Overview</w:t>
      </w:r>
    </w:p>
    <w:p>
      <w:pPr>
        <w:spacing w:after="0" w:before="80"/>
      </w:pPr>
      <w:r>
        <w:rPr>
          <w:rFonts w:ascii="Arial" w:cs="Arial" w:eastAsia="Arial" w:hAnsi="Arial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1A3C5E"/>
        </w:rPr>
        <w:t xml:space="preserve">Pathlight is a read-observe-report platform. </w:t>
      </w:r>
      <w:r>
        <w:rPr>
          <w:rFonts w:ascii="Arial" w:cs="Arial" w:eastAsia="Arial" w:hAnsi="Arial"/>
        </w:rPr>
        <w:t xml:space="preserve">It does not automatically modify user code. Developers intentionally add @pathlight: mapping tags to test titles. Pathlight connects to existing Playwright suites via a reporter plugin, observes events in real time, and publishes results.</w:t>
      </w:r>
    </w:p>
    <w:p>
      <w:pPr>
        <w:spacing w:after="0" w:before="8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B6CB0" w:sz="2"/>
              <w:left w:val="single" w:color="2B6CB0" w:sz="2"/>
              <w:bottom w:val="single" w:color="2B6CB0" w:sz="2"/>
              <w:right w:val="single" w:color="2B6CB0" w:sz="2"/>
            </w:tcBorders>
            <w:shd w:fill="EBF4FF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A3C5E"/>
                <w:sz w:val="20"/>
                <w:szCs w:val="20"/>
              </w:rPr>
              <w:t xml:space="preserve">Unchanged: </w:t>
            </w:r>
            <w:r>
              <w:rPr>
                <w:rFonts w:ascii="Arial" w:cs="Arial" w:eastAsia="Arial" w:hAnsi="Arial"/>
                <w:color w:val="1A3C5E"/>
                <w:sz w:val="20"/>
                <w:szCs w:val="20"/>
              </w:rPr>
              <w:t xml:space="preserve">  Component Map and Separation of Concerns are correct. See previous versions if needed.</w:t>
            </w:r>
          </w:p>
        </w:tc>
      </w:tr>
    </w:tbl>
    <w:p>
      <w:pPr>
        <w:spacing w:after="0" w:before="280"/>
      </w:pPr>
      <w:r>
        <w:rPr>
          <w:rFonts w:ascii="Arial" w:cs="Arial" w:eastAsia="Arial" w:hAnsi="Arial"/>
        </w:rPr>
        <w:t xml:space="preserve"/>
      </w:r>
    </w:p>
    <w:p>
      <w:r>
        <w:br w:type="page"/>
      </w:r>
    </w:p>
    <w:p>
      <w:pPr>
        <w:pStyle w:val="Heading1"/>
        <w:pBdr>
          <w:bottom w:val="single" w:color="2B6CB0" w:sz="6" w:space="6"/>
        </w:pBdr>
        <w:spacing w:after="160" w:before="400"/>
      </w:pPr>
      <w:r>
        <w:rPr>
          <w:rFonts w:ascii="Arial" w:cs="Arial" w:eastAsia="Arial" w:hAnsi="Arial"/>
        </w:rPr>
        <w:t xml:space="preserve">2. Core User Workflow</w:t>
      </w:r>
    </w:p>
    <w:p>
      <w:pPr>
        <w:spacing w:after="0" w:before="8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B6CB0" w:sz="2"/>
              <w:left w:val="single" w:color="2B6CB0" w:sz="2"/>
              <w:bottom w:val="single" w:color="2B6CB0" w:sz="2"/>
              <w:right w:val="single" w:color="2B6CB0" w:sz="2"/>
            </w:tcBorders>
            <w:shd w:fill="EBF4FF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A3C5E"/>
                <w:sz w:val="20"/>
                <w:szCs w:val="20"/>
              </w:rPr>
              <w:t xml:space="preserve">Unchanged: </w:t>
            </w:r>
            <w:r>
              <w:rPr>
                <w:rFonts w:ascii="Arial" w:cs="Arial" w:eastAsia="Arial" w:hAnsi="Arial"/>
                <w:color w:val="1A3C5E"/>
                <w:sz w:val="20"/>
                <w:szCs w:val="20"/>
              </w:rPr>
              <w:t xml:space="preserve">  Seven-stage workflow and failure workflow unchanged.</w:t>
            </w:r>
          </w:p>
        </w:tc>
      </w:tr>
    </w:tbl>
    <w:p>
      <w:pPr>
        <w:spacing w:after="0" w:before="280"/>
      </w:pPr>
      <w:r>
        <w:rPr>
          <w:rFonts w:ascii="Arial" w:cs="Arial" w:eastAsia="Arial" w:hAnsi="Arial"/>
        </w:rPr>
        <w:t xml:space="preserve"/>
      </w:r>
    </w:p>
    <w:p>
      <w:r>
        <w:br w:type="page"/>
      </w:r>
    </w:p>
    <w:p>
      <w:pPr>
        <w:pStyle w:val="Heading1"/>
        <w:pBdr>
          <w:bottom w:val="single" w:color="2B6CB0" w:sz="6" w:space="6"/>
        </w:pBdr>
        <w:spacing w:after="160" w:before="400"/>
      </w:pPr>
      <w:r>
        <w:rPr>
          <w:rFonts w:ascii="Arial" w:cs="Arial" w:eastAsia="Arial" w:hAnsi="Arial"/>
        </w:rPr>
        <w:t xml:space="preserve">3. Data Schemas</w:t>
      </w:r>
    </w:p>
    <w:p>
      <w:pPr>
        <w:spacing w:after="0" w:before="8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B2335" w:sz="2"/>
              <w:left w:val="single" w:color="9B2335" w:sz="2"/>
              <w:bottom w:val="single" w:color="9B2335" w:sz="2"/>
              <w:right w:val="single" w:color="9B2335" w:sz="2"/>
            </w:tcBorders>
            <w:shd w:fill="FFF5F5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9B2335"/>
                <w:sz w:val="20"/>
                <w:szCs w:val="20"/>
              </w:rPr>
              <w:t xml:space="preserve">Glossary sign-off blocker: </w:t>
            </w:r>
            <w:r>
              <w:rPr>
                <w:rFonts w:ascii="Arial" w:cs="Arial" w:eastAsia="Arial" w:hAnsi="Arial"/>
                <w:color w:val="9B2335"/>
                <w:sz w:val="20"/>
                <w:szCs w:val="20"/>
              </w:rPr>
              <w:t xml:space="preserve">  Domain Glossary v1.1 must be updated before sign-off. Five items required — see §18.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7791F" w:sz="2"/>
              <w:left w:val="single" w:color="B7791F" w:sz="2"/>
              <w:bottom w:val="single" w:color="B7791F" w:sz="2"/>
              <w:right w:val="single" w:color="B7791F" w:sz="2"/>
            </w:tcBorders>
            <w:shd w:fill="FFFBEB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B7791F"/>
                <w:sz w:val="20"/>
                <w:szCs w:val="20"/>
              </w:rPr>
              <w:t xml:space="preserve">Schema rule: </w:t>
            </w:r>
            <w:r>
              <w:rPr>
                <w:rFonts w:ascii="Arial" w:cs="Arial" w:eastAsia="Arial" w:hAnsi="Arial"/>
                <w:color w:val="B7791F"/>
                <w:sz w:val="20"/>
                <w:szCs w:val="20"/>
              </w:rPr>
              <w:t xml:space="preserve">  Every schema has a schemaVersion field. Version increments on breaking changes.</w:t>
            </w:r>
          </w:p>
        </w:tc>
      </w:tr>
    </w:tbl>
    <w:p>
      <w:pPr>
        <w:spacing w:after="0" w:before="16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color w:val="2B6CB0"/>
        </w:rPr>
        <w:t xml:space="preserve">3.1 BusinessRule Schema</w:t>
      </w:r>
    </w:p>
    <w:p>
      <w:pPr>
        <w:spacing w:after="0" w:before="6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B6CB0" w:sz="2"/>
              <w:left w:val="single" w:color="2B6CB0" w:sz="2"/>
              <w:bottom w:val="single" w:color="2B6CB0" w:sz="2"/>
              <w:right w:val="single" w:color="2B6CB0" w:sz="2"/>
            </w:tcBorders>
            <w:shd w:fill="F0F4F8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type RuleSeverity = "low" | "medium" | "high" | "critical";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interface BusinessRule {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schemaVersion: string;        // "1.0"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id:            string;        // "BR-S2-001" — permanent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label:         string;        // short name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severity:      RuleSeverity;  // drives release verdict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description:   string;        // full constraint text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version:       string;        // "1.0" — increment when rule text changes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}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// BusinessRules live in ManifestFile.businessRules[] — canonical registry.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// ManifestNode stores businessRuleIds[] as references, not embedded text.</w:t>
            </w:r>
          </w:p>
        </w:tc>
      </w:tr>
    </w:tbl>
    <w:p>
      <w:pPr>
        <w:spacing w:after="0" w:before="12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color w:val="2B6CB0"/>
        </w:rPr>
        <w:t xml:space="preserve">3.2 Manifest Node Schema</w:t>
      </w:r>
    </w:p>
    <w:p>
      <w:pPr>
        <w:spacing w:after="0" w:before="6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B6CB0" w:sz="2"/>
              <w:left w:val="single" w:color="2B6CB0" w:sz="2"/>
              <w:bottom w:val="single" w:color="2B6CB0" w:sz="2"/>
              <w:right w:val="single" w:color="2B6CB0" w:sz="2"/>
            </w:tcBorders>
            <w:shd w:fill="F0F4F8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interface ManifestNode {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schemaVersion:   string;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id:              string;       // permanent — never changes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projectKey:      string;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stage:           string;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module:          string;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storyId?:        string;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storyTitle?:     string;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branchType:      BranchType;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label:           string;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risk:            RiskLevel;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businessRuleIds: string[];     // references to BusinessRule.id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testFiles:       string[];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tags:            string[];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lastStatus?:     NodeStatus;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lastRunId?:      string;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lastDuration?:   number;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lastError?:      string;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lastErrorType?:  ErrorType;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}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type NodeStatus =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| "pending"    // only pre-execution state in V1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| "running"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| "passed"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| "failed"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| "skipped"    // ONLY explicit test.skip() — not filtered tests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| "blocked"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| "flaky"      // post-V1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| "untested"   // no linked test file OR filtered out of this run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| "abandoned"; // run stopped before this test executed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// queued: removed from V1. Reserved post-V1.</w:t>
            </w:r>
          </w:p>
        </w:tc>
      </w:tr>
    </w:tbl>
    <w:p>
      <w:pPr>
        <w:spacing w:after="0" w:before="12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color w:val="2B6CB0"/>
        </w:rPr>
        <w:t xml:space="preserve">3.3 Manifest File Schema</w:t>
      </w:r>
    </w:p>
    <w:p>
      <w:pPr>
        <w:spacing w:after="0" w:before="6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B6CB0" w:sz="2"/>
              <w:left w:val="single" w:color="2B6CB0" w:sz="2"/>
              <w:bottom w:val="single" w:color="2B6CB0" w:sz="2"/>
              <w:right w:val="single" w:color="2B6CB0" w:sz="2"/>
            </w:tcBorders>
            <w:shd w:fill="F0F4F8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interface ManifestFile {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schemaVersion:  string;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projectKey:     string;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lockedAt:       string;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lockedBy:       string;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businessRules:  BusinessRule[];  // canonical registry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nodes:          ManifestNode[];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}</w:t>
            </w:r>
          </w:p>
        </w:tc>
      </w:tr>
    </w:tbl>
    <w:p>
      <w:pPr>
        <w:spacing w:after="0" w:before="12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color w:val="2B6CB0"/>
        </w:rPr>
        <w:t xml:space="preserve">3.4 Event Schema</w:t>
      </w:r>
    </w:p>
    <w:p>
      <w:pPr>
        <w:spacing w:after="0" w:before="60"/>
      </w:pPr>
      <w:r>
        <w:rPr>
          <w:rFonts w:ascii="Arial" w:cs="Arial" w:eastAsia="Arial" w:hAnsi="Arial"/>
        </w:rP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D3748"/>
          <w:sz w:val="22"/>
          <w:szCs w:val="22"/>
        </w:rPr>
        <w:t xml:space="preserve">ReporterEventInput — what the reporter POSTs</w:t>
      </w:r>
    </w:p>
    <w:p>
      <w:pPr>
        <w:spacing w:after="0" w:before="6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B6CB0" w:sz="2"/>
              <w:left w:val="single" w:color="2B6CB0" w:sz="2"/>
              <w:bottom w:val="single" w:color="2B6CB0" w:sz="2"/>
              <w:right w:val="single" w:color="2B6CB0" w:sz="2"/>
            </w:tcBorders>
            <w:shd w:fill="F0F4F8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// Reporter POSTs this shape. seq is NOT included.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interface ReporterEventInput {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eventId:   string;              // "evt_0001" — reporter-assigned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runId:     string;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type:      ReporterEventType;   // reporter types only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timestamp: string;              // ISO 8601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payload?:  EventPayload;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}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type ReporterEventType =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| "run.started"  | "test.started"  | "step.started"  | "step.finished"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| "test.passed"  | "test.failed"   | "test.skipped"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| "artifact.created"   // optional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| "run.finished";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// Server types (run.abandoned, report.ready) sent by reporter → 400.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</w:rP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D3748"/>
          <w:sz w:val="22"/>
          <w:szCs w:val="22"/>
        </w:rPr>
        <w:t xml:space="preserve">StoredPathlightEvent — stored and broadcast by server</w:t>
      </w:r>
    </w:p>
    <w:p>
      <w:pPr>
        <w:spacing w:after="0" w:before="6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B6CB0" w:sz="2"/>
              <w:left w:val="single" w:color="2B6CB0" w:sz="2"/>
              <w:bottom w:val="single" w:color="2B6CB0" w:sz="2"/>
              <w:right w:val="single" w:color="2B6CB0" w:sz="2"/>
            </w:tcBorders>
            <w:shd w:fill="F0F4F8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interface StoredPathlightEvent {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seq:       number;    // server-assigned monotonic — SSE id: field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eventId:   string;    // evt_NNNN (reporter) or srv_NNNN (server)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runId:     string;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type:      EventType; // full set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timestamp: string;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payload?:  EventPayload;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}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type EventType = ReporterEventType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| "run.abandoned"    // server — persisted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| "report.ready";    // server — NOT persisted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// SSE wire: id: {seq}\ndata: {JSON of StoredPathlightEvent}\n\n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// Server processing on POST /api/events: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// 1. Validate required fields          → else 400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// 2. Validate type is ReporterEventType → else 400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// 3. Validate testId against manifest   → unknown: 202 { received:false }, no persist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// 4. Assign seq = currentSeq++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// 5. Build StoredPathlightEvent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// 6. Append to reports/{runId}/events.jsonl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// 7. Push to SSE buffer (max 100)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// 8. Broadcast: id: {seq}\ndata: {JSON}\n\n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// 9. Update runState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// 10. Return 202 { received: true }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// Payload shapes — test.failed (key fields):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| { testId, duration, error, errorType: ErrorType,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  retryCount, workerId, isFinalAttempt }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type ErrorType =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| "assertion_failure" | "timeout"       | "setup_failure"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| "teardown_failure"  | "infra_failure" | "test_skipped"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| "blocked"           | "run_abandoned" | "unknown";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type ArtifactType = "screenshot" | "trace";  // V1 only</w:t>
            </w:r>
          </w:p>
        </w:tc>
      </w:tr>
    </w:tbl>
    <w:p>
      <w:pPr>
        <w:spacing w:after="0" w:before="12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color w:val="2B6CB0"/>
        </w:rPr>
        <w:t xml:space="preserve">3.5 Run Identity Model</w:t>
      </w:r>
    </w:p>
    <w:p>
      <w:pPr>
        <w:spacing w:after="0" w:before="6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400"/>
        <w:gridCol w:w="2680"/>
        <w:gridCol w:w="2880"/>
      </w:tblGrid>
      <w:tr>
        <w:trPr>
          <w:tblHeader/>
        </w:trPr>
        <w:tc>
          <w:tcPr>
            <w:tcW w:type="dxa" w:w="140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ID</w:t>
            </w:r>
          </w:p>
        </w:tc>
        <w:tc>
          <w:tcPr>
            <w:tcW w:type="dxa" w:w="240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Format</w:t>
            </w:r>
          </w:p>
        </w:tc>
        <w:tc>
          <w:tcPr>
            <w:tcW w:type="dxa" w:w="268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Example</w:t>
            </w:r>
          </w:p>
        </w:tc>
        <w:tc>
          <w:tcPr>
            <w:tcW w:type="dxa" w:w="288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Assigned by</w:t>
            </w:r>
          </w:p>
        </w:tc>
      </w:tr>
      <w:tr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Run ID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run_YYYYMMDD_NNN</w:t>
            </w:r>
          </w:p>
        </w:tc>
        <w:tc>
          <w:tcPr>
            <w:tcW w:type="dxa" w:w="2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run_20260517_001</w:t>
            </w:r>
          </w:p>
        </w:tc>
        <w:tc>
          <w:tcPr>
            <w:tcW w:type="dxa" w:w="28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Runner Orchestrator</w:t>
            </w:r>
          </w:p>
        </w:tc>
      </w:tr>
      <w:tr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Test ID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Manifest Node ID</w:t>
            </w:r>
          </w:p>
        </w:tc>
        <w:tc>
          <w:tcPr>
            <w:tcW w:type="dxa" w:w="2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S1-US002-UNHAPPY-001</w:t>
            </w:r>
          </w:p>
        </w:tc>
        <w:tc>
          <w:tcPr>
            <w:tcW w:type="dxa" w:w="28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Manifest — permanent</w:t>
            </w:r>
          </w:p>
        </w:tc>
      </w:tr>
      <w:tr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Attempt ID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{testId}_{runId}_att_{N}</w:t>
            </w:r>
          </w:p>
        </w:tc>
        <w:tc>
          <w:tcPr>
            <w:tcW w:type="dxa" w:w="2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S1-US002-UNHAPPY-001_run_20260517_001_att_1</w:t>
            </w:r>
          </w:p>
        </w:tc>
        <w:tc>
          <w:tcPr>
            <w:tcW w:type="dxa" w:w="28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Reporter</w:t>
            </w:r>
          </w:p>
        </w:tc>
      </w:tr>
      <w:tr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Event ID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evt_{N} or srv_{N}</w:t>
            </w:r>
          </w:p>
        </w:tc>
        <w:tc>
          <w:tcPr>
            <w:tcW w:type="dxa" w:w="2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evt_0042 / srv_0003</w:t>
            </w:r>
          </w:p>
        </w:tc>
        <w:tc>
          <w:tcPr>
            <w:tcW w:type="dxa" w:w="28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Reporter or Server</w:t>
            </w:r>
          </w:p>
        </w:tc>
      </w:tr>
      <w:tr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SSE seq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Monotonic integer</w:t>
            </w:r>
          </w:p>
        </w:tc>
        <w:tc>
          <w:tcPr>
            <w:tcW w:type="dxa" w:w="2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1, 2, 3 ...</w:t>
            </w:r>
          </w:p>
        </w:tc>
        <w:tc>
          <w:tcPr>
            <w:tcW w:type="dxa" w:w="28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Server — resumes max+1 on restart</w:t>
            </w:r>
          </w:p>
        </w:tc>
      </w:tr>
      <w:tr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Artifact ID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{attemptId}_{type}</w:t>
            </w:r>
          </w:p>
        </w:tc>
        <w:tc>
          <w:tcPr>
            <w:tcW w:type="dxa" w:w="2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S1-..._att_1_screenshot</w:t>
            </w:r>
          </w:p>
        </w:tc>
        <w:tc>
          <w:tcPr>
            <w:tcW w:type="dxa" w:w="28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Dashboard Publisher</w:t>
            </w:r>
          </w:p>
        </w:tc>
      </w:tr>
    </w:tbl>
    <w:p>
      <w:pPr>
        <w:spacing w:after="0" w:before="280"/>
      </w:pPr>
      <w:r>
        <w:rPr>
          <w:rFonts w:ascii="Arial" w:cs="Arial" w:eastAsia="Arial" w:hAnsi="Arial"/>
        </w:rPr>
        <w:t xml:space="preserve"/>
      </w:r>
    </w:p>
    <w:p>
      <w:r>
        <w:br w:type="page"/>
      </w:r>
    </w:p>
    <w:p>
      <w:pPr>
        <w:pStyle w:val="Heading1"/>
        <w:pBdr>
          <w:bottom w:val="single" w:color="2B6CB0" w:sz="6" w:space="6"/>
        </w:pBdr>
        <w:spacing w:after="160" w:before="400"/>
      </w:pPr>
      <w:r>
        <w:rPr>
          <w:rFonts w:ascii="Arial" w:cs="Arial" w:eastAsia="Arial" w:hAnsi="Arial"/>
        </w:rPr>
        <w:t xml:space="preserve">4. Retry and Error Model</w:t>
      </w:r>
    </w:p>
    <w:p>
      <w:pPr>
        <w:spacing w:after="0" w:before="8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B6CB0" w:sz="2"/>
              <w:left w:val="single" w:color="2B6CB0" w:sz="2"/>
              <w:bottom w:val="single" w:color="2B6CB0" w:sz="2"/>
              <w:right w:val="single" w:color="2B6CB0" w:sz="2"/>
            </w:tcBorders>
            <w:shd w:fill="EBF4FF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A3C5E"/>
                <w:sz w:val="20"/>
                <w:szCs w:val="20"/>
              </w:rPr>
              <w:t xml:space="preserve">Unchanged: </w:t>
            </w:r>
            <w:r>
              <w:rPr>
                <w:rFonts w:ascii="Arial" w:cs="Arial" w:eastAsia="Arial" w:hAnsi="Arial"/>
                <w:color w:val="1A3C5E"/>
                <w:sz w:val="20"/>
                <w:szCs w:val="20"/>
              </w:rPr>
              <w:t xml:space="preserve">  Retry model, error taxonomy, and errorType mapping rules unchanged from v0.2.</w:t>
            </w:r>
          </w:p>
        </w:tc>
      </w:tr>
    </w:tbl>
    <w:p>
      <w:pPr>
        <w:spacing w:after="0" w:before="280"/>
      </w:pPr>
      <w:r>
        <w:rPr>
          <w:rFonts w:ascii="Arial" w:cs="Arial" w:eastAsia="Arial" w:hAnsi="Arial"/>
        </w:rPr>
        <w:t xml:space="preserve"/>
      </w:r>
    </w:p>
    <w:p>
      <w:r>
        <w:br w:type="page"/>
      </w:r>
    </w:p>
    <w:p>
      <w:pPr>
        <w:pStyle w:val="Heading1"/>
        <w:pBdr>
          <w:bottom w:val="single" w:color="2B6CB0" w:sz="6" w:space="6"/>
        </w:pBdr>
        <w:spacing w:after="160" w:before="400"/>
      </w:pPr>
      <w:r>
        <w:rPr>
          <w:rFonts w:ascii="Arial" w:cs="Arial" w:eastAsia="Arial" w:hAnsi="Arial"/>
        </w:rPr>
        <w:t xml:space="preserve">5. Reporter Contract (@pathlight/playwright-reporter)</w:t>
      </w:r>
    </w:p>
    <w:p>
      <w:pPr>
        <w:spacing w:after="0" w:before="8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color w:val="2B6CB0"/>
        </w:rPr>
        <w:t xml:space="preserve">5.1 Installation</w:t>
      </w:r>
    </w:p>
    <w:p>
      <w:pPr>
        <w:spacing w:after="0" w:before="6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B6CB0" w:sz="2"/>
              <w:left w:val="single" w:color="2B6CB0" w:sz="2"/>
              <w:bottom w:val="single" w:color="2B6CB0" w:sz="2"/>
              <w:right w:val="single" w:color="2B6CB0" w:sz="2"/>
            </w:tcBorders>
            <w:shd w:fill="F0F4F8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npm install --save-dev @pathlight/playwright-reporter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reporter: [['@pathlight/playwright-reporter', {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serverUrl: process.env.PATHLIGHT_SERVER_URL || 'http://localhost:4242',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runId:     process.env.PATHLIGHT_RUN_ID     || 'run_manual',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}]]</w:t>
            </w:r>
          </w:p>
        </w:tc>
      </w:tr>
    </w:tbl>
    <w:p>
      <w:pPr>
        <w:spacing w:after="0" w:before="12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color w:val="2B6CB0"/>
        </w:rPr>
        <w:t xml:space="preserve">5.2 Test-to-manifest mapping</w:t>
      </w:r>
    </w:p>
    <w:p>
      <w:pPr>
        <w:spacing w:after="0" w:before="6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B6CB0" w:sz="2"/>
              <w:left w:val="single" w:color="2B6CB0" w:sz="2"/>
              <w:bottom w:val="single" w:color="2B6CB0" w:sz="2"/>
              <w:right w:val="single" w:color="2B6CB0" w:sz="2"/>
            </w:tcBorders>
            <w:shd w:fill="F0F4F8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// test('@pathlight:{nodeId} description', ...)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const match = testTitle.match(/@pathlight:([^\s]+)/);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// No tag: log warning to stderr, skip event, do NOT fail run.</w:t>
            </w:r>
          </w:p>
        </w:tc>
      </w:tr>
    </w:tbl>
    <w:p>
      <w:pPr>
        <w:spacing w:after="0" w:before="12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color w:val="2B6CB0"/>
        </w:rPr>
        <w:t xml:space="preserve">5.3 Guaranteed events — V1</w:t>
      </w:r>
    </w:p>
    <w:p>
      <w:pPr>
        <w:spacing w:after="0" w:before="6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600"/>
        <w:gridCol w:w="4760"/>
      </w:tblGrid>
      <w:tr>
        <w:trPr>
          <w:tblHeader/>
        </w:trPr>
        <w:tc>
          <w:tcPr>
            <w:tcW w:type="dxa" w:w="200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Event</w:t>
            </w:r>
          </w:p>
        </w:tc>
        <w:tc>
          <w:tcPr>
            <w:tcW w:type="dxa" w:w="260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When</w:t>
            </w:r>
          </w:p>
        </w:tc>
        <w:tc>
          <w:tcPr>
            <w:tcW w:type="dxa" w:w="476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Payload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run.started</w:t>
            </w:r>
          </w:p>
        </w:tc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onBegin</w:t>
            </w:r>
          </w:p>
        </w:tc>
        <w:tc>
          <w:tcPr>
            <w:tcW w:type="dxa" w:w="4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totalTests, suiteId?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test.started</w:t>
            </w:r>
          </w:p>
        </w:tc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Test body begins</w:t>
            </w:r>
          </w:p>
        </w:tc>
        <w:tc>
          <w:tcPr>
            <w:tcW w:type="dxa" w:w="4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testId, workerId, attempt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test.passed</w:t>
            </w:r>
          </w:p>
        </w:tc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All assertions pass</w:t>
            </w:r>
          </w:p>
        </w:tc>
        <w:tc>
          <w:tcPr>
            <w:tcW w:type="dxa" w:w="4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testId, duration, retryCount, workerId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test.failed</w:t>
            </w:r>
          </w:p>
        </w:tc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Attempt fails</w:t>
            </w:r>
          </w:p>
        </w:tc>
        <w:tc>
          <w:tcPr>
            <w:tcW w:type="dxa" w:w="4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testId, duration, error, errorType, retryCount, workerId, isFinalAttempt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test.skipped</w:t>
            </w:r>
          </w:p>
        </w:tc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ONLY explicit test.skip()</w:t>
            </w:r>
          </w:p>
        </w:tc>
        <w:tc>
          <w:tcPr>
            <w:tcW w:type="dxa" w:w="4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testId, reason?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run.finished</w:t>
            </w:r>
          </w:p>
        </w:tc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onEnd</w:t>
            </w:r>
          </w:p>
        </w:tc>
        <w:tc>
          <w:tcPr>
            <w:tcW w:type="dxa" w:w="4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total, passed, failed, skipped, duration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7791F" w:sz="2"/>
              <w:left w:val="single" w:color="B7791F" w:sz="2"/>
              <w:bottom w:val="single" w:color="B7791F" w:sz="2"/>
              <w:right w:val="single" w:color="B7791F" w:sz="2"/>
            </w:tcBorders>
            <w:shd w:fill="FFFBEB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B7791F"/>
                <w:sz w:val="20"/>
                <w:szCs w:val="20"/>
              </w:rPr>
              <w:t xml:space="preserve">artifact.created (optional): </w:t>
            </w:r>
            <w:r>
              <w:rPr>
                <w:rFonts w:ascii="Arial" w:cs="Arial" w:eastAsia="Arial" w:hAnsi="Arial"/>
                <w:color w:val="B7791F"/>
                <w:sz w:val="20"/>
                <w:szCs w:val="20"/>
              </w:rPr>
              <w:t xml:space="preserve">  Reporter emits if result.attachments contains paths. NOT guaranteed. Publisher scans outputDir as primary. Filtered tests emit nothing — Publisher marks them untested.</w:t>
            </w:r>
          </w:p>
        </w:tc>
      </w:tr>
    </w:tbl>
    <w:p>
      <w:pPr>
        <w:spacing w:after="0" w:before="12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color w:val="2B6CB0"/>
        </w:rPr>
        <w:t xml:space="preserve">5.4 Reliability rules</w:t>
      </w:r>
    </w:p>
    <w:p>
      <w:pPr>
        <w:spacing w:after="0" w:before="60"/>
      </w:pPr>
      <w:r>
        <w:rPr>
          <w:rFonts w:ascii="Arial" w:cs="Arial" w:eastAsia="Arial" w:hAnsi="Arial"/>
        </w:rP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</w:rPr>
        <w:t xml:space="preserve">Server unreachable: log warning to stderr, continue. Never throw. Never process.exit.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</w:rPr>
        <w:t xml:space="preserve">2000ms timeout per POST. Dropped events logged. Test run continues.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</w:rPr>
        <w:t xml:space="preserve">Unknown testId response (202 received:false): log warning, continue.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</w:rPr>
        <w:t xml:space="preserve">No retry on dropped events in V1.</w:t>
      </w:r>
    </w:p>
    <w:p>
      <w:pPr>
        <w:spacing w:after="0" w:before="280"/>
      </w:pPr>
      <w:r>
        <w:rPr>
          <w:rFonts w:ascii="Arial" w:cs="Arial" w:eastAsia="Arial" w:hAnsi="Arial"/>
        </w:rPr>
        <w:t xml:space="preserve"/>
      </w:r>
    </w:p>
    <w:p>
      <w:r>
        <w:br w:type="page"/>
      </w:r>
    </w:p>
    <w:p>
      <w:pPr>
        <w:pStyle w:val="Heading1"/>
        <w:pBdr>
          <w:bottom w:val="single" w:color="2B6CB0" w:sz="6" w:space="6"/>
        </w:pBdr>
        <w:spacing w:after="160" w:before="400"/>
      </w:pPr>
      <w:r>
        <w:rPr>
          <w:rFonts w:ascii="Arial" w:cs="Arial" w:eastAsia="Arial" w:hAnsi="Arial"/>
        </w:rPr>
        <w:t xml:space="preserve">6. Event Bus</w:t>
      </w:r>
    </w:p>
    <w:p>
      <w:pPr>
        <w:spacing w:after="0" w:before="8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color w:val="2B6CB0"/>
        </w:rPr>
        <w:t xml:space="preserve">6.1 SSE</w:t>
      </w:r>
    </w:p>
    <w:p>
      <w:pPr>
        <w:spacing w:after="0" w:before="6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B6CB0" w:sz="2"/>
              <w:left w:val="single" w:color="2B6CB0" w:sz="2"/>
              <w:bottom w:val="single" w:color="2B6CB0" w:sz="2"/>
              <w:right w:val="single" w:color="2B6CB0" w:sz="2"/>
            </w:tcBorders>
            <w:shd w:fill="EBF4FF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A3C5E"/>
                <w:sz w:val="20"/>
                <w:szCs w:val="20"/>
              </w:rPr>
              <w:t xml:space="preserve">Unchanged: </w:t>
            </w:r>
            <w:r>
              <w:rPr>
                <w:rFonts w:ascii="Arial" w:cs="Arial" w:eastAsia="Arial" w:hAnsi="Arial"/>
                <w:color w:val="1A3C5E"/>
                <w:sz w:val="20"/>
                <w:szCs w:val="20"/>
              </w:rPr>
              <w:t xml:space="preserve">  Endpoint, event format (id: seq, data: JSON), heartbeat, 100-event buffer, reconnect handling.</w:t>
            </w:r>
          </w:p>
        </w:tc>
      </w:tr>
    </w:tbl>
    <w:p>
      <w:pPr>
        <w:spacing w:after="0" w:before="12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color w:val="2B6CB0"/>
        </w:rPr>
        <w:t xml:space="preserve">6.2 Two-plane model</w:t>
      </w:r>
    </w:p>
    <w:p>
      <w:pPr>
        <w:spacing w:after="0" w:before="6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B6CB0" w:sz="2"/>
              <w:left w:val="single" w:color="2B6CB0" w:sz="2"/>
              <w:bottom w:val="single" w:color="2B6CB0" w:sz="2"/>
              <w:right w:val="single" w:color="2B6CB0" w:sz="2"/>
            </w:tcBorders>
            <w:shd w:fill="EBF4FF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A3C5E"/>
                <w:sz w:val="20"/>
                <w:szCs w:val="20"/>
              </w:rPr>
              <w:t xml:space="preserve">SSE: </w:t>
            </w:r>
            <w:r>
              <w:rPr>
                <w:rFonts w:ascii="Arial" w:cs="Arial" w:eastAsia="Arial" w:hAnsi="Arial"/>
                <w:color w:val="1A3C5E"/>
                <w:sz w:val="20"/>
                <w:szCs w:val="20"/>
              </w:rPr>
              <w:t xml:space="preserve">  Observation only — read.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A3C5E"/>
                <w:sz w:val="20"/>
                <w:szCs w:val="20"/>
              </w:rPr>
              <w:t xml:space="preserve">Control Plane: </w:t>
            </w:r>
            <w:r>
              <w:rPr>
                <w:rFonts w:ascii="Arial" w:cs="Arial" w:eastAsia="Arial" w:hAnsi="Arial"/>
                <w:color w:val="1A3C5E"/>
                <w:sz w:val="20"/>
                <w:szCs w:val="20"/>
              </w:rPr>
              <w:t xml:space="preserve">  Commands only — write.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A3C5E"/>
                <w:sz w:val="20"/>
                <w:szCs w:val="20"/>
              </w:rPr>
              <w:t xml:space="preserve">Rule: </w:t>
            </w:r>
            <w:r>
              <w:rPr>
                <w:rFonts w:ascii="Arial" w:cs="Arial" w:eastAsia="Arial" w:hAnsi="Arial"/>
                <w:color w:val="1A3C5E"/>
                <w:sz w:val="20"/>
                <w:szCs w:val="20"/>
              </w:rPr>
              <w:t xml:space="preserve">  Never conflate.</w:t>
            </w:r>
          </w:p>
        </w:tc>
      </w:tr>
    </w:tbl>
    <w:p>
      <w:pPr>
        <w:spacing w:after="0" w:before="12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color w:val="2B6CB0"/>
        </w:rPr>
        <w:t xml:space="preserve">6.3 Event persistence</w:t>
      </w:r>
    </w:p>
    <w:p>
      <w:pPr>
        <w:spacing w:after="0" w:before="6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1200"/>
        <w:gridCol w:w="3360"/>
      </w:tblGrid>
      <w:tr>
        <w:trPr>
          <w:tblHeader/>
        </w:trPr>
        <w:tc>
          <w:tcPr>
            <w:tcW w:type="dxa" w:w="240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Event</w:t>
            </w:r>
          </w:p>
        </w:tc>
        <w:tc>
          <w:tcPr>
            <w:tcW w:type="dxa" w:w="240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Category</w:t>
            </w:r>
          </w:p>
        </w:tc>
        <w:tc>
          <w:tcPr>
            <w:tcW w:type="dxa" w:w="120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Persisted</w:t>
            </w:r>
          </w:p>
        </w:tc>
        <w:tc>
          <w:tcPr>
            <w:tcW w:type="dxa" w:w="336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Recoverable from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Reporter events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Reporter-sourced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Yes</w:t>
            </w:r>
          </w:p>
        </w:tc>
        <w:tc>
          <w:tcPr>
            <w:tcW w:type="dxa" w:w="3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events.jsonl replay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run.abandoned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Server state-changing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Yes</w:t>
            </w:r>
          </w:p>
        </w:tc>
        <w:tc>
          <w:tcPr>
            <w:tcW w:type="dxa" w:w="3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events.jsonl last entry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report.ready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Server UI-notification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No</w:t>
            </w:r>
          </w:p>
        </w:tc>
        <w:tc>
          <w:tcPr>
            <w:tcW w:type="dxa" w:w="3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reports/{runId}/summary.json + run state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B6CB0" w:sz="2"/>
              <w:left w:val="single" w:color="2B6CB0" w:sz="2"/>
              <w:bottom w:val="single" w:color="2B6CB0" w:sz="2"/>
              <w:right w:val="single" w:color="2B6CB0" w:sz="2"/>
            </w:tcBorders>
            <w:shd w:fill="F0F4F8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reports/{runId}/events.jsonl  ← canonical per-run log (atomic appendFileSync)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runs/index.json               ← { runs:[...], latest: runId }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// seq on restart: currentSeq = max(persisted seq values) + 1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// Unknown testId: reject before persistence, return 202 { received:false }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// report.ready: added to SSE buffer (not events.jsonl)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// GET /api/runs/:runId: returns reportReady, reportPath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// On restart: check reports/{runId}/summary.json to restore reportReady</w:t>
            </w:r>
          </w:p>
        </w:tc>
      </w:tr>
    </w:tbl>
    <w:p>
      <w:pPr>
        <w:spacing w:after="0" w:before="280"/>
      </w:pPr>
      <w:r>
        <w:rPr>
          <w:rFonts w:ascii="Arial" w:cs="Arial" w:eastAsia="Arial" w:hAnsi="Arial"/>
        </w:rPr>
        <w:t xml:space="preserve"/>
      </w:r>
    </w:p>
    <w:p>
      <w:r>
        <w:br w:type="page"/>
      </w:r>
    </w:p>
    <w:p>
      <w:pPr>
        <w:pStyle w:val="Heading1"/>
        <w:pBdr>
          <w:bottom w:val="single" w:color="2B6CB0" w:sz="6" w:space="6"/>
        </w:pBdr>
        <w:spacing w:after="160" w:before="400"/>
      </w:pPr>
      <w:r>
        <w:rPr>
          <w:rFonts w:ascii="Arial" w:cs="Arial" w:eastAsia="Arial" w:hAnsi="Arial"/>
        </w:rPr>
        <w:t xml:space="preserve">7. Control Plane API</w:t>
      </w:r>
    </w:p>
    <w:p>
      <w:pPr>
        <w:spacing w:after="0" w:before="8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800"/>
        <w:gridCol w:w="5360"/>
      </w:tblGrid>
      <w:tr>
        <w:trPr>
          <w:tblHeader/>
        </w:trPr>
        <w:tc>
          <w:tcPr>
            <w:tcW w:type="dxa" w:w="320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Endpoint</w:t>
            </w:r>
          </w:p>
        </w:tc>
        <w:tc>
          <w:tcPr>
            <w:tcW w:type="dxa" w:w="80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Method</w:t>
            </w:r>
          </w:p>
        </w:tc>
        <w:tc>
          <w:tcPr>
            <w:tcW w:type="dxa" w:w="536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Response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POST /api/runs</w:t>
            </w:r>
          </w:p>
        </w:tc>
        <w:tc>
          <w:tcPr>
            <w:tcW w:type="dxa" w:w="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POST</w:t>
            </w:r>
          </w:p>
        </w:tc>
        <w:tc>
          <w:tcPr>
            <w:tcW w:type="dxa" w:w="5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201 { runId }  OR  409 { error, activeRunId } if run active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DELETE /api/runs/:runId</w:t>
            </w:r>
          </w:p>
        </w:tc>
        <w:tc>
          <w:tcPr>
            <w:tcW w:type="dxa" w:w="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DELETE</w:t>
            </w:r>
          </w:p>
        </w:tc>
        <w:tc>
          <w:tcPr>
            <w:tcW w:type="dxa" w:w="5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202 { status: "stopping" }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POST /api/runs/:runId/rerun</w:t>
            </w:r>
          </w:p>
        </w:tc>
        <w:tc>
          <w:tcPr>
            <w:tcW w:type="dxa" w:w="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POST</w:t>
            </w:r>
          </w:p>
        </w:tc>
        <w:tc>
          <w:tcPr>
            <w:tcW w:type="dxa" w:w="5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201 { runId }  OR  409 if active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GET /api/runs/:runId</w:t>
            </w:r>
          </w:p>
        </w:tc>
        <w:tc>
          <w:tcPr>
            <w:tcW w:type="dxa" w:w="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GET</w:t>
            </w:r>
          </w:p>
        </w:tc>
        <w:tc>
          <w:tcPr>
            <w:tcW w:type="dxa" w:w="5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200 { runId, status, testResults, reportReady, reportPath }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GET /api/manifest</w:t>
            </w:r>
          </w:p>
        </w:tc>
        <w:tc>
          <w:tcPr>
            <w:tcW w:type="dxa" w:w="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GET</w:t>
            </w:r>
          </w:p>
        </w:tc>
        <w:tc>
          <w:tcPr>
            <w:tcW w:type="dxa" w:w="5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200 ManifestFile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GET /api/stream</w:t>
            </w:r>
          </w:p>
        </w:tc>
        <w:tc>
          <w:tcPr>
            <w:tcW w:type="dxa" w:w="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GET</w:t>
            </w:r>
          </w:p>
        </w:tc>
        <w:tc>
          <w:tcPr>
            <w:tcW w:type="dxa" w:w="5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text/event-stream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GET /api/health</w:t>
            </w:r>
          </w:p>
        </w:tc>
        <w:tc>
          <w:tcPr>
            <w:tcW w:type="dxa" w:w="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GET</w:t>
            </w:r>
          </w:p>
        </w:tc>
        <w:tc>
          <w:tcPr>
            <w:tcW w:type="dxa" w:w="5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200 { status: "ok", activeRunId: string|null }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7791F" w:sz="2"/>
              <w:left w:val="single" w:color="B7791F" w:sz="2"/>
              <w:bottom w:val="single" w:color="B7791F" w:sz="2"/>
              <w:right w:val="single" w:color="B7791F" w:sz="2"/>
            </w:tcBorders>
            <w:shd w:fill="FFFBEB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B7791F"/>
                <w:sz w:val="20"/>
                <w:szCs w:val="20"/>
              </w:rPr>
              <w:t xml:space="preserve">V1 concurrency: </w:t>
            </w:r>
            <w:r>
              <w:rPr>
                <w:rFonts w:ascii="Arial" w:cs="Arial" w:eastAsia="Arial" w:hAnsi="Arial"/>
                <w:color w:val="B7791F"/>
                <w:sz w:val="20"/>
                <w:szCs w:val="20"/>
              </w:rPr>
              <w:t xml:space="preserve">  One active run at a time. POST /api/runs returns 409 if runState.status === "running".</w:t>
            </w:r>
          </w:p>
        </w:tc>
      </w:tr>
    </w:tbl>
    <w:p>
      <w:pPr>
        <w:spacing w:after="0" w:before="280"/>
      </w:pPr>
      <w:r>
        <w:rPr>
          <w:rFonts w:ascii="Arial" w:cs="Arial" w:eastAsia="Arial" w:hAnsi="Arial"/>
        </w:rPr>
        <w:t xml:space="preserve"/>
      </w:r>
    </w:p>
    <w:p>
      <w:r>
        <w:br w:type="page"/>
      </w:r>
    </w:p>
    <w:p>
      <w:pPr>
        <w:pStyle w:val="Heading1"/>
        <w:pBdr>
          <w:bottom w:val="single" w:color="2B6CB0" w:sz="6" w:space="6"/>
        </w:pBdr>
        <w:spacing w:after="160" w:before="400"/>
      </w:pPr>
      <w:r>
        <w:rPr>
          <w:rFonts w:ascii="Arial" w:cs="Arial" w:eastAsia="Arial" w:hAnsi="Arial"/>
        </w:rPr>
        <w:t xml:space="preserve">8. Runner Orchestration</w:t>
      </w:r>
    </w:p>
    <w:p>
      <w:pPr>
        <w:spacing w:after="0" w:before="8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B6CB0" w:sz="2"/>
              <w:left w:val="single" w:color="2B6CB0" w:sz="2"/>
              <w:bottom w:val="single" w:color="2B6CB0" w:sz="2"/>
              <w:right w:val="single" w:color="2B6CB0" w:sz="2"/>
            </w:tcBorders>
            <w:shd w:fill="EBF4FF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A3C5E"/>
                <w:sz w:val="20"/>
                <w:szCs w:val="20"/>
              </w:rPr>
              <w:t xml:space="preserve">Unchanged: </w:t>
            </w:r>
            <w:r>
              <w:rPr>
                <w:rFonts w:ascii="Arial" w:cs="Arial" w:eastAsia="Arial" w:hAnsi="Arial"/>
                <w:color w:val="1A3C5E"/>
                <w:sz w:val="20"/>
                <w:szCs w:val="20"/>
              </w:rPr>
              <w:t xml:space="preserve">  Env var injection (PATHLIGHT_RUN_ID, PATHLIGHT_SERVER_URL), command allowlist, crash recovery unchanged from v0.2.</w:t>
            </w:r>
          </w:p>
        </w:tc>
      </w:tr>
    </w:tbl>
    <w:p>
      <w:pPr>
        <w:spacing w:after="0" w:before="280"/>
      </w:pPr>
      <w:r>
        <w:rPr>
          <w:rFonts w:ascii="Arial" w:cs="Arial" w:eastAsia="Arial" w:hAnsi="Arial"/>
        </w:rPr>
        <w:t xml:space="preserve"/>
      </w:r>
    </w:p>
    <w:p>
      <w:r>
        <w:br w:type="page"/>
      </w:r>
    </w:p>
    <w:p>
      <w:pPr>
        <w:pStyle w:val="Heading1"/>
        <w:pBdr>
          <w:bottom w:val="single" w:color="2B6CB0" w:sz="6" w:space="6"/>
        </w:pBdr>
        <w:spacing w:after="160" w:before="400"/>
      </w:pPr>
      <w:r>
        <w:rPr>
          <w:rFonts w:ascii="Arial" w:cs="Arial" w:eastAsia="Arial" w:hAnsi="Arial"/>
        </w:rPr>
        <w:t xml:space="preserve">9. Artifact Strategy</w:t>
      </w:r>
    </w:p>
    <w:p>
      <w:pPr>
        <w:spacing w:after="0" w:before="8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color w:val="2B6CB0"/>
        </w:rPr>
        <w:t xml:space="preserve">9.1 Artifact types — V1</w:t>
      </w:r>
    </w:p>
    <w:p>
      <w:pPr>
        <w:spacing w:after="0" w:before="60"/>
      </w:pPr>
      <w:r>
        <w:rPr>
          <w:rFonts w:ascii="Arial" w:cs="Arial" w:eastAsia="Arial" w:hAnsi="Arial"/>
        </w:rPr>
        <w:t xml:space="preserve"/>
      </w:r>
    </w:p>
    <w:p>
      <w:pPr>
        <w:shd w:fill="FFFBEB" w:val="clear"/>
        <w:spacing w:after="40" w:before="40"/>
      </w:pPr>
      <w:r>
        <w:rPr>
          <w:rFonts w:ascii="Arial" w:cs="Arial" w:eastAsia="Arial" w:hAnsi="Arial"/>
          <w:b/>
          <w:bCs/>
          <w:color w:val="B7791F"/>
          <w:sz w:val="16"/>
          <w:szCs w:val="16"/>
        </w:rPr>
        <w:t xml:space="preserve">CHANGED v0.3  </w:t>
      </w:r>
      <w:r>
        <w:rPr>
          <w:rFonts w:ascii="Arial" w:cs="Arial" w:eastAsia="Arial" w:hAnsi="Arial"/>
          <w:color w:val="B7791F"/>
          <w:sz w:val="18"/>
          <w:szCs w:val="18"/>
        </w:rPr>
        <w:t xml:space="preserve">Playwright outputDir read from pathlight.config.json (runner.playwrightOutputDir). Falls back to test-results/. No dynamic playwright.config.ts parsing.</w:t>
      </w:r>
    </w:p>
    <w:p>
      <w:pPr>
        <w:spacing w:after="0" w:before="8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B6CB0" w:sz="2"/>
              <w:left w:val="single" w:color="2B6CB0" w:sz="2"/>
              <w:bottom w:val="single" w:color="2B6CB0" w:sz="2"/>
              <w:right w:val="single" w:color="2B6CB0" w:sz="2"/>
            </w:tcBorders>
            <w:shd w:fill="F0F4F8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// pathlight.config.json — user sets once, override if their project uses a custom dir: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{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"runner": {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  "playwrightOutputDir": "test-results"  // default, change if needed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}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}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// Dashboard Publisher artifact discovery after run.finished: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// 1. Read config.runner.playwrightOutputDir (fallback: "test-results")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// 2. Scan that directory for **/*.png (screenshots) and **/*.zip (traces)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// 3. Match to attemptIds using filename patterns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// 4. Copy matched files to reports/{runId}/artifacts/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// 5. Write paths into summary.json and report.html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// 6. Evidence Panel reads artifact paths from summary.json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// V1 artifacts: screenshot (.png) and trace (.zip) only.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// console-log and network-log require @pathlight/playwright-fixtures — post-V1.</w:t>
            </w:r>
          </w:p>
        </w:tc>
      </w:tr>
    </w:tbl>
    <w:p>
      <w:pPr>
        <w:spacing w:after="0" w:before="12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color w:val="2B6CB0"/>
        </w:rPr>
        <w:t xml:space="preserve">9.2 Storage paths and naming</w:t>
      </w:r>
    </w:p>
    <w:p>
      <w:pPr>
        <w:spacing w:after="0" w:before="6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B6CB0" w:sz="2"/>
              <w:left w:val="single" w:color="2B6CB0" w:sz="2"/>
              <w:bottom w:val="single" w:color="2B6CB0" w:sz="2"/>
              <w:right w:val="single" w:color="2B6CB0" w:sz="2"/>
            </w:tcBorders>
            <w:shd w:fill="F0F4F8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// Attempt ID format: {testId}_{runId}_att_{N}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// Artifact names: {attemptId}_screenshot.png / {attemptId}_trace.zip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reports/{runId}/events.jsonl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reports/{runId}/summary.json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reports/{runId}/report.html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reports/{runId}/artifacts/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runs/index.json</w:t>
            </w:r>
          </w:p>
        </w:tc>
      </w:tr>
    </w:tbl>
    <w:p>
      <w:pPr>
        <w:spacing w:after="0" w:before="280"/>
      </w:pPr>
      <w:r>
        <w:rPr>
          <w:rFonts w:ascii="Arial" w:cs="Arial" w:eastAsia="Arial" w:hAnsi="Arial"/>
        </w:rPr>
        <w:t xml:space="preserve"/>
      </w:r>
    </w:p>
    <w:p>
      <w:r>
        <w:br w:type="page"/>
      </w:r>
    </w:p>
    <w:p>
      <w:pPr>
        <w:pStyle w:val="Heading1"/>
        <w:pBdr>
          <w:bottom w:val="single" w:color="2B6CB0" w:sz="6" w:space="6"/>
        </w:pBdr>
        <w:spacing w:after="160" w:before="400"/>
      </w:pPr>
      <w:r>
        <w:rPr>
          <w:rFonts w:ascii="Arial" w:cs="Arial" w:eastAsia="Arial" w:hAnsi="Arial"/>
        </w:rPr>
        <w:t xml:space="preserve">10. Path Intelligence Engine</w:t>
      </w:r>
    </w:p>
    <w:p>
      <w:pPr>
        <w:spacing w:after="0" w:before="8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B6CB0" w:sz="2"/>
              <w:left w:val="single" w:color="2B6CB0" w:sz="2"/>
              <w:bottom w:val="single" w:color="2B6CB0" w:sz="2"/>
              <w:right w:val="single" w:color="2B6CB0" w:sz="2"/>
            </w:tcBorders>
            <w:shd w:fill="EBF4FF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A3C5E"/>
                <w:sz w:val="20"/>
                <w:szCs w:val="20"/>
              </w:rPr>
              <w:t xml:space="preserve">Unchanged: </w:t>
            </w:r>
            <w:r>
              <w:rPr>
                <w:rFonts w:ascii="Arial" w:cs="Arial" w:eastAsia="Arial" w:hAnsi="Arial"/>
                <w:color w:val="1A3C5E"/>
                <w:sz w:val="20"/>
                <w:szCs w:val="20"/>
              </w:rPr>
              <w:t xml:space="preserve">  Two-step derivation, provider interface (model from config), privacy guardrails, prompt harness, caching, cost control.</w:t>
            </w:r>
          </w:p>
        </w:tc>
      </w:tr>
    </w:tbl>
    <w:p>
      <w:pPr>
        <w:spacing w:after="0" w:before="200"/>
      </w:pPr>
      <w:r>
        <w:rPr>
          <w:rFonts w:ascii="Arial" w:cs="Arial" w:eastAsia="Arial" w:hAnsi="Arial"/>
        </w:rPr>
        <w:t xml:space="preserve"/>
      </w:r>
    </w:p>
    <w:p>
      <w:pPr>
        <w:pStyle w:val="Heading1"/>
        <w:pBdr>
          <w:bottom w:val="single" w:color="2B6CB0" w:sz="6" w:space="6"/>
        </w:pBdr>
        <w:spacing w:after="160" w:before="400"/>
      </w:pPr>
      <w:r>
        <w:rPr>
          <w:rFonts w:ascii="Arial" w:cs="Arial" w:eastAsia="Arial" w:hAnsi="Arial"/>
        </w:rPr>
        <w:t xml:space="preserve">11. JIRA Integration</w:t>
      </w:r>
    </w:p>
    <w:p>
      <w:pPr>
        <w:spacing w:after="0" w:before="8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B6CB0" w:sz="2"/>
              <w:left w:val="single" w:color="2B6CB0" w:sz="2"/>
              <w:bottom w:val="single" w:color="2B6CB0" w:sz="2"/>
              <w:right w:val="single" w:color="2B6CB0" w:sz="2"/>
            </w:tcBorders>
            <w:shd w:fill="EBF4FF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A3C5E"/>
                <w:sz w:val="20"/>
                <w:szCs w:val="20"/>
              </w:rPr>
              <w:t xml:space="preserve">Unchanged: </w:t>
            </w:r>
            <w:r>
              <w:rPr>
                <w:rFonts w:ascii="Arial" w:cs="Arial" w:eastAsia="Arial" w:hAnsi="Arial"/>
                <w:color w:val="1A3C5E"/>
                <w:sz w:val="20"/>
                <w:szCs w:val="20"/>
              </w:rPr>
              <w:t xml:space="preserve">  OAuth 2.0 with cloudId discovery, configurable JQL, chmod 600 token file, refresh failure UI, local dev bypass.</w:t>
            </w:r>
          </w:p>
        </w:tc>
      </w:tr>
    </w:tbl>
    <w:p>
      <w:pPr>
        <w:spacing w:after="0" w:before="200"/>
      </w:pPr>
      <w:r>
        <w:rPr>
          <w:rFonts w:ascii="Arial" w:cs="Arial" w:eastAsia="Arial" w:hAnsi="Arial"/>
        </w:rPr>
        <w:t xml:space="preserve"/>
      </w:r>
    </w:p>
    <w:p>
      <w:pPr>
        <w:pStyle w:val="Heading1"/>
        <w:pBdr>
          <w:bottom w:val="single" w:color="2B6CB0" w:sz="6" w:space="6"/>
        </w:pBdr>
        <w:spacing w:after="160" w:before="400"/>
      </w:pPr>
      <w:r>
        <w:rPr>
          <w:rFonts w:ascii="Arial" w:cs="Arial" w:eastAsia="Arial" w:hAnsi="Arial"/>
        </w:rPr>
        <w:t xml:space="preserve">12. Fishbone Renderer Specification</w:t>
      </w:r>
    </w:p>
    <w:p>
      <w:pPr>
        <w:spacing w:after="0" w:before="8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B6CB0" w:sz="2"/>
              <w:left w:val="single" w:color="2B6CB0" w:sz="2"/>
              <w:bottom w:val="single" w:color="2B6CB0" w:sz="2"/>
              <w:right w:val="single" w:color="2B6CB0" w:sz="2"/>
            </w:tcBorders>
            <w:shd w:fill="EBF4FF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A3C5E"/>
                <w:sz w:val="20"/>
                <w:szCs w:val="20"/>
              </w:rPr>
              <w:t xml:space="preserve">Unchanged: </w:t>
            </w:r>
            <w:r>
              <w:rPr>
                <w:rFonts w:ascii="Arial" w:cs="Arial" w:eastAsia="Arial" w:hAnsi="Arial"/>
                <w:color w:val="1A3C5E"/>
                <w:sz w:val="20"/>
                <w:szCs w:val="20"/>
              </w:rPr>
              <w:t xml:space="preserve">  Layout rules, animation state machine (queued removed), timings.</w:t>
            </w:r>
          </w:p>
        </w:tc>
      </w:tr>
    </w:tbl>
    <w:p>
      <w:pPr>
        <w:spacing w:after="0" w:before="280"/>
      </w:pPr>
      <w:r>
        <w:rPr>
          <w:rFonts w:ascii="Arial" w:cs="Arial" w:eastAsia="Arial" w:hAnsi="Arial"/>
        </w:rPr>
        <w:t xml:space="preserve"/>
      </w:r>
    </w:p>
    <w:p>
      <w:r>
        <w:br w:type="page"/>
      </w:r>
    </w:p>
    <w:p>
      <w:pPr>
        <w:pStyle w:val="Heading1"/>
        <w:pBdr>
          <w:bottom w:val="single" w:color="2B6CB0" w:sz="6" w:space="6"/>
        </w:pBdr>
        <w:spacing w:after="160" w:before="400"/>
      </w:pPr>
      <w:r>
        <w:rPr>
          <w:rFonts w:ascii="Arial" w:cs="Arial" w:eastAsia="Arial" w:hAnsi="Arial"/>
        </w:rPr>
        <w:t xml:space="preserve">13. Dashboard Publisher</w:t>
      </w:r>
    </w:p>
    <w:p>
      <w:pPr>
        <w:spacing w:after="0" w:before="8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B6CB0" w:sz="2"/>
              <w:left w:val="single" w:color="2B6CB0" w:sz="2"/>
              <w:bottom w:val="single" w:color="2B6CB0" w:sz="2"/>
              <w:right w:val="single" w:color="2B6CB0" w:sz="2"/>
            </w:tcBorders>
            <w:shd w:fill="EBF4FF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A3C5E"/>
                <w:sz w:val="20"/>
                <w:szCs w:val="20"/>
              </w:rPr>
              <w:t xml:space="preserve">V1 output: </w:t>
            </w:r>
            <w:r>
              <w:rPr>
                <w:rFonts w:ascii="Arial" w:cs="Arial" w:eastAsia="Arial" w:hAnsi="Arial"/>
                <w:color w:val="1A3C5E"/>
                <w:sz w:val="20"/>
                <w:szCs w:val="20"/>
              </w:rPr>
              <w:t xml:space="preserve">  Static HTML at reports/{runId}/report.html. Opened manually in browser.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A3C5E"/>
                <w:sz w:val="20"/>
                <w:szCs w:val="20"/>
              </w:rPr>
              <w:t xml:space="preserve">Trigger: </w:t>
            </w:r>
            <w:r>
              <w:rPr>
                <w:rFonts w:ascii="Arial" w:cs="Arial" w:eastAsia="Arial" w:hAnsi="Arial"/>
                <w:color w:val="1A3C5E"/>
                <w:sz w:val="20"/>
                <w:szCs w:val="20"/>
              </w:rPr>
              <w:t xml:space="preserve">  Generated automatically on run.finished.</w:t>
            </w:r>
          </w:p>
        </w:tc>
      </w:tr>
    </w:tbl>
    <w:p>
      <w:pPr>
        <w:spacing w:after="0" w:before="12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color w:val="2B6CB0"/>
        </w:rPr>
        <w:t xml:space="preserve">13.1 Dashboard sections</w:t>
      </w:r>
    </w:p>
    <w:p>
      <w:pPr>
        <w:spacing w:after="0" w:before="6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480"/>
        <w:gridCol w:w="3480"/>
      </w:tblGrid>
      <w:tr>
        <w:trPr>
          <w:tblHeader/>
        </w:trPr>
        <w:tc>
          <w:tcPr>
            <w:tcW w:type="dxa" w:w="240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Section</w:t>
            </w:r>
          </w:p>
        </w:tc>
        <w:tc>
          <w:tcPr>
            <w:tcW w:type="dxa" w:w="348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Content</w:t>
            </w:r>
          </w:p>
        </w:tc>
        <w:tc>
          <w:tcPr>
            <w:tcW w:type="dxa" w:w="348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Source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Release confidence header</w:t>
            </w:r>
          </w:p>
        </w:tc>
        <w:tc>
          <w:tcPr>
            <w:tcW w:type="dxa" w:w="34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PASSED/WARNING/FAILED badge, run ID, timestamp, suite tag (if filtered), duration</w:t>
            </w:r>
          </w:p>
        </w:tc>
        <w:tc>
          <w:tcPr>
            <w:tcW w:type="dxa" w:w="34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runState, verdict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Summary metrics</w:t>
            </w:r>
          </w:p>
        </w:tc>
        <w:tc>
          <w:tcPr>
            <w:tcW w:type="dxa" w:w="34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Total, passed, failed, skipped, pass rate</w:t>
            </w:r>
          </w:p>
        </w:tc>
        <w:tc>
          <w:tcPr>
            <w:tcW w:type="dxa" w:w="34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run.finished payload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Fishbone snapshot</w:t>
            </w:r>
          </w:p>
        </w:tc>
        <w:tc>
          <w:tcPr>
            <w:tcW w:type="dxa" w:w="34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Inline SVG from summary.json final state (V1). Canvas PNG post-V1.</w:t>
            </w:r>
          </w:p>
        </w:tc>
        <w:tc>
          <w:tcPr>
            <w:tcW w:type="dxa" w:w="34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summary.json, manifest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Module breakdown</w:t>
            </w:r>
          </w:p>
        </w:tc>
        <w:tc>
          <w:tcPr>
            <w:tcW w:type="dxa" w:w="34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Per-module: total, passed, failed, pass rate</w:t>
            </w:r>
          </w:p>
        </w:tc>
        <w:tc>
          <w:tcPr>
            <w:tcW w:type="dxa" w:w="34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testResults by module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Failed branches</w:t>
            </w:r>
          </w:p>
        </w:tc>
        <w:tc>
          <w:tcPr>
            <w:tcW w:type="dxa" w:w="34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Label, errorType, error, screenshot link, trace link, retry count</w:t>
            </w:r>
          </w:p>
        </w:tc>
        <w:tc>
          <w:tcPr>
            <w:tcW w:type="dxa" w:w="34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testResults failed, artifacts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Business rule coverage</w:t>
            </w:r>
          </w:p>
        </w:tc>
        <w:tc>
          <w:tcPr>
            <w:tcW w:type="dxa" w:w="34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All BusinessRules: PASS/FAIL/UNTESTED/OUT-OF-SCOPE, severity shown</w:t>
            </w:r>
          </w:p>
        </w:tc>
        <w:tc>
          <w:tcPr>
            <w:tcW w:type="dxa" w:w="34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manifest.businessRules, testResults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Untested paths</w:t>
            </w:r>
          </w:p>
        </w:tc>
        <w:tc>
          <w:tcPr>
            <w:tcW w:type="dxa" w:w="34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Manifest nodes with no test file or no result in this run</w:t>
            </w:r>
          </w:p>
        </w:tc>
        <w:tc>
          <w:tcPr>
            <w:tcW w:type="dxa" w:w="34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manifest nodes, testResults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Run metadata</w:t>
            </w:r>
          </w:p>
        </w:tc>
        <w:tc>
          <w:tcPr>
            <w:tcW w:type="dxa" w:w="34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Run ID, project key, stage, suiteTag, Playwright version, Node version</w:t>
            </w:r>
          </w:p>
        </w:tc>
        <w:tc>
          <w:tcPr>
            <w:tcW w:type="dxa" w:w="34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runState</w:t>
            </w:r>
          </w:p>
        </w:tc>
      </w:tr>
    </w:tbl>
    <w:p>
      <w:pPr>
        <w:spacing w:after="0" w:before="12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color w:val="2B6CB0"/>
        </w:rPr>
        <w:t xml:space="preserve">13.2 Release confidence verdict</w:t>
      </w:r>
    </w:p>
    <w:p>
      <w:pPr>
        <w:spacing w:after="0" w:before="60"/>
      </w:pPr>
      <w:r>
        <w:rPr>
          <w:rFonts w:ascii="Arial" w:cs="Arial" w:eastAsia="Arial" w:hAnsi="Arial"/>
        </w:rPr>
        <w:t xml:space="preserve"/>
      </w:r>
    </w:p>
    <w:p>
      <w:pPr>
        <w:shd w:fill="FFFBEB" w:val="clear"/>
        <w:spacing w:after="40" w:before="40"/>
      </w:pPr>
      <w:r>
        <w:rPr>
          <w:rFonts w:ascii="Arial" w:cs="Arial" w:eastAsia="Arial" w:hAnsi="Arial"/>
          <w:b/>
          <w:bCs/>
          <w:color w:val="B7791F"/>
          <w:sz w:val="16"/>
          <w:szCs w:val="16"/>
        </w:rPr>
        <w:t xml:space="preserve">CHANGED v0.3  </w:t>
      </w:r>
      <w:r>
        <w:rPr>
          <w:rFonts w:ascii="Arial" w:cs="Arial" w:eastAsia="Arial" w:hAnsi="Arial"/>
          <w:color w:val="B7791F"/>
          <w:sz w:val="18"/>
          <w:szCs w:val="18"/>
        </w:rPr>
        <w:t xml:space="preserve">Scope filter added: partial suite runs only evaluate in-scope rules. Out-of-scope rules show as "not evaluated" and do NOT affect verdict.</w:t>
      </w:r>
    </w:p>
    <w:p>
      <w:pPr>
        <w:spacing w:after="0" w:before="8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B6CB0" w:sz="2"/>
              <w:left w:val="single" w:color="2B6CB0" w:sz="2"/>
              <w:bottom w:val="single" w:color="2B6CB0" w:sz="2"/>
              <w:right w:val="single" w:color="2B6CB0" w:sz="2"/>
            </w:tcBorders>
            <w:shd w:fill="F0F4F8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// Verdict algorithm — scope-aware. First match wins.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// ── Run scope ─────────────────────────────────────────────────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const isFullRun = !run.suiteTag;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const executedNodeIds = new Set(Object.keys(testResults));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// A node is "in scope" if Playwright reported on it OR it is a full run.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function nodeInScope(nodeId) {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return isFullRun || executedNodeIds.has(nodeId);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}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// A rule is: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//   "uncovered"    — no manifest nodes reference this rule at all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//   "out-of-scope" — all covering nodes filtered out of this run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//   "in-scope"     — at least one covering node was in this run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function ruleScope(rule) {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const nodes = manifest.nodes.filter(n =&gt; n.businessRuleIds.includes(rule.id));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if (nodes.length === 0) return "uncovered";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return nodes.some(n =&gt; nodeInScope(n.id)) ? "in-scope" : "out-of-scope";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}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// ── Step 1: Abandoned run ─────────────────────────────────────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if (runState.status === "abandoned") → FAILED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// ── Step 2: Critical + high rules (in-scope only) ────────────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const critHighRules = manifest.businessRules.filter(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r =&gt; r.severity === "critical" || r.severity === "high"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);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for (const rule of critHighRules) {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const scope = ruleScope(rule);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if (scope === "out-of-scope") continue;       // skip — not in this run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if (scope === "uncovered") → FAILED            // no tests cover this rule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const nodes = manifest.nodes.filter(n =&gt; n.businessRuleIds.includes(rule.id));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const inScope = nodes.filter(n =&gt; nodeInScope(n.id));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const anyFailed = inScope.some(n =&gt; testResults[n.id]?.status === "failed");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if (anyFailed) → FAILED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const allUntested = inScope.every(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  n =&gt; !testResults[n.id] || testResults[n.id].status === "untested"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);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if (allUntested) → FAILED                     // selected but not tested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}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// ── Step 3: Pass rate (in-scope tests only) ──────────────────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const inScopeResults = Object.values(testResults)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.filter(r =&gt; r.status !== "untested");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const inScopePassed = inScopeResults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.filter(r =&gt; r.status === "passed" || r.status === "skipped").length;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if (inScopeResults.length &gt; 0 &amp;&amp;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  inScopePassed / inScopeResults.length &lt; 0.90) → FAILED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// ── Step 4: Low + medium rules (in-scope only) ───────────────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let hasWarning = failed &gt; 0;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const lowMedRules = manifest.businessRules.filter(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r =&gt; r.severity === "low" || r.severity === "medium"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);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for (const rule of lowMedRules) {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const scope = ruleScope(rule);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if (scope === "out-of-scope") continue;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if (scope === "uncovered") { hasWarning = true; continue; }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const nodes = manifest.nodes.filter(n =&gt; n.businessRuleIds.includes(rule.id));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const inScope = nodes.filter(n =&gt; nodeInScope(n.id));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if (inScope.some(n =&gt; testResults[n.id]?.status === "failed")) hasWarning = true;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if (inScope.every(n =&gt; !testResults[n.id])) hasWarning = true;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}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if (hasWarning) → WARNING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// ── Step 5: All clear ────────────────────────────────────────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→ PASSED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// Dashboard shows out-of-scope rules as: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// "Not evaluated in this run (@smoke filter active)"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// They do not affect the verdict.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rPr>
          <w:tblHeader/>
        </w:trPr>
        <w:tc>
          <w:tcPr>
            <w:tcW w:type="dxa" w:w="200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Verdict</w:t>
            </w:r>
          </w:p>
        </w:tc>
        <w:tc>
          <w:tcPr>
            <w:tcW w:type="dxa" w:w="736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Condition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PASSED</w:t>
            </w:r>
          </w:p>
        </w:tc>
        <w:tc>
          <w:tcPr>
            <w:tcW w:type="dxa" w:w="7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All in-scope results pass/skip. Zero failures. No in-scope critical/high rule failing, uncovered, or untested.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WARNING</w:t>
            </w:r>
          </w:p>
        </w:tc>
        <w:tc>
          <w:tcPr>
            <w:tcW w:type="dxa" w:w="7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No in-scope critical/high failures or gaps. Pass rate &gt;= 90%. One or more: low/medium failure, low/medium uncovered, or non-critical test failures.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FAILED</w:t>
            </w:r>
          </w:p>
        </w:tc>
        <w:tc>
          <w:tcPr>
            <w:tcW w:type="dxa" w:w="7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ANY of: critical or high in-scope rule fails / uncovered / untested; pass rate &lt; 90%; run abandoned.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— (out of scope)</w:t>
            </w:r>
          </w:p>
        </w:tc>
        <w:tc>
          <w:tcPr>
            <w:tcW w:type="dxa" w:w="7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Rule not evaluated — all covering tests excluded by suite tag filter. Shown in report, does not affect verdict.</w:t>
            </w:r>
          </w:p>
        </w:tc>
      </w:tr>
    </w:tbl>
    <w:p>
      <w:pPr>
        <w:spacing w:after="0" w:before="280"/>
      </w:pPr>
      <w:r>
        <w:rPr>
          <w:rFonts w:ascii="Arial" w:cs="Arial" w:eastAsia="Arial" w:hAnsi="Arial"/>
        </w:rPr>
        <w:t xml:space="preserve"/>
      </w:r>
    </w:p>
    <w:p>
      <w:r>
        <w:br w:type="page"/>
      </w:r>
    </w:p>
    <w:p>
      <w:pPr>
        <w:pStyle w:val="Heading1"/>
        <w:pBdr>
          <w:bottom w:val="single" w:color="2B6CB0" w:sz="6" w:space="6"/>
        </w:pBdr>
        <w:spacing w:after="160" w:before="400"/>
      </w:pPr>
      <w:r>
        <w:rPr>
          <w:rFonts w:ascii="Arial" w:cs="Arial" w:eastAsia="Arial" w:hAnsi="Arial"/>
        </w:rPr>
        <w:t xml:space="preserve">14. Environment Strategy</w:t>
      </w:r>
    </w:p>
    <w:p>
      <w:pPr>
        <w:spacing w:after="0" w:before="8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B6CB0" w:sz="2"/>
              <w:left w:val="single" w:color="2B6CB0" w:sz="2"/>
              <w:bottom w:val="single" w:color="2B6CB0" w:sz="2"/>
              <w:right w:val="single" w:color="2B6CB0" w:sz="2"/>
            </w:tcBorders>
            <w:shd w:fill="EBF4FF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A3C5E"/>
                <w:sz w:val="20"/>
                <w:szCs w:val="20"/>
              </w:rPr>
              <w:t xml:space="preserve">Unchanged: </w:t>
            </w:r>
            <w:r>
              <w:rPr>
                <w:rFonts w:ascii="Arial" w:cs="Arial" w:eastAsia="Arial" w:hAnsi="Arial"/>
                <w:color w:val="1A3C5E"/>
                <w:sz w:val="20"/>
                <w:szCs w:val="20"/>
              </w:rPr>
              <w:t xml:space="preserve">  Environment table and secrets management.</w:t>
            </w:r>
          </w:p>
        </w:tc>
      </w:tr>
    </w:tbl>
    <w:p>
      <w:pPr>
        <w:spacing w:after="0" w:before="200"/>
      </w:pPr>
      <w:r>
        <w:rPr>
          <w:rFonts w:ascii="Arial" w:cs="Arial" w:eastAsia="Arial" w:hAnsi="Arial"/>
        </w:rPr>
        <w:t xml:space="preserve"/>
      </w:r>
    </w:p>
    <w:p>
      <w:pPr>
        <w:pStyle w:val="Heading1"/>
        <w:pBdr>
          <w:bottom w:val="single" w:color="2B6CB0" w:sz="6" w:space="6"/>
        </w:pBdr>
        <w:spacing w:after="160" w:before="400"/>
      </w:pPr>
      <w:r>
        <w:rPr>
          <w:rFonts w:ascii="Arial" w:cs="Arial" w:eastAsia="Arial" w:hAnsi="Arial"/>
        </w:rPr>
        <w:t xml:space="preserve">15. Success Metrics</w:t>
      </w:r>
    </w:p>
    <w:p>
      <w:pPr>
        <w:spacing w:after="0" w:before="8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B6CB0" w:sz="2"/>
              <w:left w:val="single" w:color="2B6CB0" w:sz="2"/>
              <w:bottom w:val="single" w:color="2B6CB0" w:sz="2"/>
              <w:right w:val="single" w:color="2B6CB0" w:sz="2"/>
            </w:tcBorders>
            <w:shd w:fill="EBF4FF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A3C5E"/>
                <w:sz w:val="20"/>
                <w:szCs w:val="20"/>
              </w:rPr>
              <w:t xml:space="preserve">Unchanged: </w:t>
            </w:r>
            <w:r>
              <w:rPr>
                <w:rFonts w:ascii="Arial" w:cs="Arial" w:eastAsia="Arial" w:hAnsi="Arial"/>
                <w:color w:val="1A3C5E"/>
                <w:sz w:val="20"/>
                <w:szCs w:val="20"/>
              </w:rPr>
              <w:t xml:space="preserve">  "100% event delivery when server remains reachable." Five metrics unchanged.</w:t>
            </w:r>
          </w:p>
        </w:tc>
      </w:tr>
    </w:tbl>
    <w:p>
      <w:pPr>
        <w:spacing w:after="0" w:before="200"/>
      </w:pPr>
      <w:r>
        <w:rPr>
          <w:rFonts w:ascii="Arial" w:cs="Arial" w:eastAsia="Arial" w:hAnsi="Arial"/>
        </w:rPr>
        <w:t xml:space="preserve"/>
      </w:r>
    </w:p>
    <w:p>
      <w:pPr>
        <w:pStyle w:val="Heading1"/>
        <w:pBdr>
          <w:bottom w:val="single" w:color="2B6CB0" w:sz="6" w:space="6"/>
        </w:pBdr>
        <w:spacing w:after="160" w:before="400"/>
      </w:pPr>
      <w:r>
        <w:rPr>
          <w:rFonts w:ascii="Arial" w:cs="Arial" w:eastAsia="Arial" w:hAnsi="Arial"/>
        </w:rPr>
        <w:t xml:space="preserve">16. Schema Versioning</w:t>
      </w:r>
    </w:p>
    <w:p>
      <w:pPr>
        <w:spacing w:after="0" w:before="8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B6CB0" w:sz="2"/>
              <w:left w:val="single" w:color="2B6CB0" w:sz="2"/>
              <w:bottom w:val="single" w:color="2B6CB0" w:sz="2"/>
              <w:right w:val="single" w:color="2B6CB0" w:sz="2"/>
            </w:tcBorders>
            <w:shd w:fill="EBF4FF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A3C5E"/>
                <w:sz w:val="20"/>
                <w:szCs w:val="20"/>
              </w:rPr>
              <w:t xml:space="preserve">Unchanged: </w:t>
            </w:r>
            <w:r>
              <w:rPr>
                <w:rFonts w:ascii="Arial" w:cs="Arial" w:eastAsia="Arial" w:hAnsi="Arial"/>
                <w:color w:val="1A3C5E"/>
                <w:sz w:val="20"/>
                <w:szCs w:val="20"/>
              </w:rPr>
              <w:t xml:space="preserve">  Versioning rules. All schemas at v1.0.</w:t>
            </w:r>
          </w:p>
        </w:tc>
      </w:tr>
    </w:tbl>
    <w:p>
      <w:pPr>
        <w:spacing w:after="0" w:before="280"/>
      </w:pPr>
      <w:r>
        <w:rPr>
          <w:rFonts w:ascii="Arial" w:cs="Arial" w:eastAsia="Arial" w:hAnsi="Arial"/>
        </w:rPr>
        <w:t xml:space="preserve"/>
      </w:r>
    </w:p>
    <w:p>
      <w:r>
        <w:br w:type="page"/>
      </w:r>
    </w:p>
    <w:p>
      <w:pPr>
        <w:pStyle w:val="Heading1"/>
        <w:pBdr>
          <w:bottom w:val="single" w:color="2B6CB0" w:sz="6" w:space="6"/>
        </w:pBdr>
        <w:spacing w:after="160" w:before="400"/>
      </w:pPr>
      <w:r>
        <w:rPr>
          <w:rFonts w:ascii="Arial" w:cs="Arial" w:eastAsia="Arial" w:hAnsi="Arial"/>
        </w:rPr>
        <w:t xml:space="preserve">17. V1 Known Limitations</w:t>
      </w:r>
    </w:p>
    <w:p>
      <w:pPr>
        <w:spacing w:after="0" w:before="8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400"/>
        <w:gridCol w:w="4160"/>
      </w:tblGrid>
      <w:tr>
        <w:trPr>
          <w:tblHeader/>
        </w:trPr>
        <w:tc>
          <w:tcPr>
            <w:tcW w:type="dxa" w:w="280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Limitation</w:t>
            </w:r>
          </w:p>
        </w:tc>
        <w:tc>
          <w:tcPr>
            <w:tcW w:type="dxa" w:w="240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Impact</w:t>
            </w:r>
          </w:p>
        </w:tc>
        <w:tc>
          <w:tcPr>
            <w:tcW w:type="dxa" w:w="416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Post-V1 plan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Single user, local only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No sharing, no teams</w:t>
            </w:r>
          </w:p>
        </w:tc>
        <w:tc>
          <w:tcPr>
            <w:tcW w:type="dxa" w:w="4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Multi-user hosted tier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Playwright only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No Vitest, Jest, pytest</w:t>
            </w:r>
          </w:p>
        </w:tc>
        <w:tc>
          <w:tcPr>
            <w:tcW w:type="dxa" w:w="4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Framework-agnostic schema designed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One active run at a time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No parallel suites</w:t>
            </w:r>
          </w:p>
        </w:tc>
        <w:tc>
          <w:tcPr>
            <w:tcW w:type="dxa" w:w="4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Multi-run concurrency model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Single project per server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No project switching</w:t>
            </w:r>
          </w:p>
        </w:tc>
        <w:tc>
          <w:tcPr>
            <w:tcW w:type="dxa" w:w="4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Multi-project selector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No historical run comparison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No trends</w:t>
            </w:r>
          </w:p>
        </w:tc>
        <w:tc>
          <w:tcPr>
            <w:tcW w:type="dxa" w:w="4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Postgres + trends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No flaky test detection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Intermittent failures not flagged</w:t>
            </w:r>
          </w:p>
        </w:tc>
        <w:tc>
          <w:tcPr>
            <w:tcW w:type="dxa" w:w="4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Requires run history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queued not in V1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No pre-execution queue view</w:t>
            </w:r>
          </w:p>
        </w:tc>
        <w:tc>
          <w:tcPr>
            <w:tcW w:type="dxa" w:w="4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Add if Playwright exposes queue hook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artifact.created not guaranteed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Publisher scan as fallback</w:t>
            </w:r>
          </w:p>
        </w:tc>
        <w:tc>
          <w:tcPr>
            <w:tcW w:type="dxa" w:w="4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Guarantee via fixtures post-V1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console-log and network-log missing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No network debug evidence</w:t>
            </w:r>
          </w:p>
        </w:tc>
        <w:tc>
          <w:tcPr>
            <w:tcW w:type="dxa" w:w="4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@pathlight/playwright-fixtures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setup_failure classification best-effort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May misclassify hook failures</w:t>
            </w:r>
          </w:p>
        </w:tc>
        <w:tc>
          <w:tcPr>
            <w:tcW w:type="dxa" w:w="4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Improve with fixture data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Traces not redacted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Sensitive headers in traces</w:t>
            </w:r>
          </w:p>
        </w:tc>
        <w:tc>
          <w:tcPr>
            <w:tcW w:type="dxa" w:w="4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Advise Playwright trace config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Dropped events not retried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Server blip = missing state</w:t>
            </w:r>
          </w:p>
        </w:tc>
        <w:tc>
          <w:tcPr>
            <w:tcW w:type="dxa" w:w="4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Reporter retry buffer post-V1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No CI integration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Must start manually</w:t>
            </w:r>
          </w:p>
        </w:tc>
        <w:tc>
          <w:tcPr>
            <w:tcW w:type="dxa" w:w="4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GitHub Actions plugin post-V1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Dashboard is local file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Not shareable</w:t>
            </w:r>
          </w:p>
        </w:tc>
        <w:tc>
          <w:tcPr>
            <w:tcW w:type="dxa" w:w="4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Hosted dashboards post-V1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Fishbone unreadable above 50 nodes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Large suites overflow canvas</w:t>
            </w:r>
          </w:p>
        </w:tc>
        <w:tc>
          <w:tcPr>
            <w:tcW w:type="dxa" w:w="4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Filter, collapse, table view</w:t>
            </w:r>
          </w:p>
        </w:tc>
      </w:tr>
    </w:tbl>
    <w:p>
      <w:pPr>
        <w:spacing w:after="0" w:before="280"/>
      </w:pPr>
      <w:r>
        <w:rPr>
          <w:rFonts w:ascii="Arial" w:cs="Arial" w:eastAsia="Arial" w:hAnsi="Arial"/>
        </w:rPr>
        <w:t xml:space="preserve"/>
      </w:r>
    </w:p>
    <w:p>
      <w:r>
        <w:br w:type="page"/>
      </w:r>
    </w:p>
    <w:p>
      <w:pPr>
        <w:pStyle w:val="Heading1"/>
        <w:pBdr>
          <w:bottom w:val="single" w:color="2B6CB0" w:sz="6" w:space="6"/>
        </w:pBdr>
        <w:spacing w:after="160" w:before="400"/>
      </w:pPr>
      <w:r>
        <w:rPr>
          <w:rFonts w:ascii="Arial" w:cs="Arial" w:eastAsia="Arial" w:hAnsi="Arial"/>
        </w:rPr>
        <w:t xml:space="preserve">18. Sign-off Checklist</w:t>
      </w:r>
    </w:p>
    <w:p>
      <w:pPr>
        <w:spacing w:after="0" w:before="8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B2335" w:sz="2"/>
              <w:left w:val="single" w:color="9B2335" w:sz="2"/>
              <w:bottom w:val="single" w:color="9B2335" w:sz="2"/>
              <w:right w:val="single" w:color="9B2335" w:sz="2"/>
            </w:tcBorders>
            <w:shd w:fill="FFF5F5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9B2335"/>
                <w:sz w:val="20"/>
                <w:szCs w:val="20"/>
              </w:rPr>
              <w:t xml:space="preserve">This TAD becomes v1.0 when all items below are confirmed.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6560"/>
        <w:gridCol w:w="2400"/>
      </w:tblGrid>
      <w:tr>
        <w:trPr>
          <w:tblHeader/>
        </w:trPr>
        <w:tc>
          <w:tcPr>
            <w:tcW w:type="dxa" w:w="40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#</w:t>
            </w:r>
          </w:p>
        </w:tc>
        <w:tc>
          <w:tcPr>
            <w:tcW w:type="dxa" w:w="656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Item</w:t>
            </w:r>
          </w:p>
        </w:tc>
        <w:tc>
          <w:tcPr>
            <w:tcW w:type="dxa" w:w="240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Status</w:t>
            </w:r>
          </w:p>
        </w:tc>
      </w:tr>
      <w:tr>
        <w:tc>
          <w:tcPr>
            <w:tcW w:type="dxa" w:w="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1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Domain Glossary v1.1: add untested; update BusinessRule to object schema; reduce V1 artifact types to screenshot+trace; remove queued from V1 NodeStatus; scope test.skipped to explicit test.skip() only.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Pending</w:t>
            </w:r>
          </w:p>
        </w:tc>
      </w:tr>
      <w:tr>
        <w:tc>
          <w:tcPr>
            <w:tcW w:type="dxa" w:w="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2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Release verdict algorithm (§13.2 scope filter + pseudocode) reviewed by Codex — no gaps.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Pending</w:t>
            </w:r>
          </w:p>
        </w:tc>
      </w:tr>
      <w:tr>
        <w:tc>
          <w:tcPr>
            <w:tcW w:type="dxa" w:w="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3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ReporterEventInput vs StoredPathlightEvent split reviewed by Codex.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Pending</w:t>
            </w:r>
          </w:p>
        </w:tc>
      </w:tr>
      <w:tr>
        <w:tc>
          <w:tcPr>
            <w:tcW w:type="dxa" w:w="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4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Playwright outputDir config (§9.1) — confirm pathlight.config.json approach acceptable vs dynamic detection.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Pending</w:t>
            </w:r>
          </w:p>
        </w:tc>
      </w:tr>
      <w:tr>
        <w:tc>
          <w:tcPr>
            <w:tcW w:type="dxa" w:w="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5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Appendix A ZovKu business rules reviewed by Inder — severity levels confirmed.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Pending</w:t>
            </w:r>
          </w:p>
        </w:tc>
      </w:tr>
    </w:tbl>
    <w:p>
      <w:pPr>
        <w:spacing w:after="0" w:before="280"/>
      </w:pPr>
      <w:r>
        <w:rPr>
          <w:rFonts w:ascii="Arial" w:cs="Arial" w:eastAsia="Arial" w:hAnsi="Arial"/>
        </w:rPr>
        <w:t xml:space="preserve"/>
      </w:r>
    </w:p>
    <w:p>
      <w:r>
        <w:br w:type="page"/>
      </w:r>
    </w:p>
    <w:p>
      <w:pPr>
        <w:pStyle w:val="Heading1"/>
        <w:pBdr>
          <w:bottom w:val="single" w:color="2B6CB0" w:sz="6" w:space="6"/>
        </w:pBdr>
        <w:spacing w:after="160" w:before="400"/>
      </w:pPr>
      <w:r>
        <w:rPr>
          <w:rFonts w:ascii="Arial" w:cs="Arial" w:eastAsia="Arial" w:hAnsi="Arial"/>
        </w:rPr>
        <w:t xml:space="preserve">Appendix A — ZovKu Business Rules Registry</w:t>
      </w:r>
    </w:p>
    <w:p>
      <w:pPr>
        <w:spacing w:after="0" w:before="8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B6CB0" w:sz="2"/>
              <w:left w:val="single" w:color="2B6CB0" w:sz="2"/>
              <w:bottom w:val="single" w:color="2B6CB0" w:sz="2"/>
              <w:right w:val="single" w:color="2B6CB0" w:sz="2"/>
            </w:tcBorders>
            <w:shd w:fill="EBF4FF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A3C5E"/>
                <w:sz w:val="20"/>
                <w:szCs w:val="20"/>
              </w:rPr>
              <w:t xml:space="preserve">Source: </w:t>
            </w:r>
            <w:r>
              <w:rPr>
                <w:rFonts w:ascii="Arial" w:cs="Arial" w:eastAsia="Arial" w:hAnsi="Arial"/>
                <w:color w:val="1A3C5E"/>
                <w:sz w:val="20"/>
                <w:szCs w:val="20"/>
              </w:rPr>
              <w:t xml:space="preserve">  ZovKu PRD v1.5. Extracted May 2026.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A3C5E"/>
                <w:sz w:val="20"/>
                <w:szCs w:val="20"/>
              </w:rPr>
              <w:t xml:space="preserve">Status: </w:t>
            </w:r>
            <w:r>
              <w:rPr>
                <w:rFonts w:ascii="Arial" w:cs="Arial" w:eastAsia="Arial" w:hAnsi="Arial"/>
                <w:color w:val="1A3C5E"/>
                <w:sz w:val="20"/>
                <w:szCs w:val="20"/>
              </w:rPr>
              <w:t xml:space="preserve">  Draft — awaiting Inder severity confirmation and JIRA story assignment.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A3C5E"/>
                <w:sz w:val="20"/>
                <w:szCs w:val="20"/>
              </w:rPr>
              <w:t xml:space="preserve">Note: </w:t>
            </w:r>
            <w:r>
              <w:rPr>
                <w:rFonts w:ascii="Arial" w:cs="Arial" w:eastAsia="Arial" w:hAnsi="Arial"/>
                <w:color w:val="1A3C5E"/>
                <w:sz w:val="20"/>
                <w:szCs w:val="20"/>
              </w:rPr>
              <w:t xml:space="preserve">  This appendix is ZovKu-specific. The BusinessRule schema in §3.1 is project-agnostic. These rules populate pathlight-manifest.json for the first ZovKu dogfood run.</w:t>
            </w:r>
          </w:p>
        </w:tc>
      </w:tr>
    </w:tbl>
    <w:p>
      <w:pPr>
        <w:spacing w:after="0" w:before="12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200"/>
        <w:gridCol w:w="1000"/>
        <w:gridCol w:w="2560"/>
        <w:gridCol w:w="1000"/>
      </w:tblGrid>
      <w:tr>
        <w:trPr>
          <w:tblHeader/>
        </w:trPr>
        <w:tc>
          <w:tcPr>
            <w:tcW w:type="dxa" w:w="160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ID + Version</w:t>
            </w:r>
          </w:p>
        </w:tc>
        <w:tc>
          <w:tcPr>
            <w:tcW w:type="dxa" w:w="320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Label</w:t>
            </w:r>
          </w:p>
        </w:tc>
        <w:tc>
          <w:tcPr>
            <w:tcW w:type="dxa" w:w="100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Severity</w:t>
            </w:r>
          </w:p>
        </w:tc>
        <w:tc>
          <w:tcPr>
            <w:tcW w:type="dxa" w:w="256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Description</w:t>
            </w:r>
          </w:p>
        </w:tc>
        <w:tc>
          <w:tcPr>
            <w:tcW w:type="dxa" w:w="100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PRD Story</w:t>
            </w:r>
          </w:p>
        </w:tc>
      </w:tr>
      <w:tr>
        <w:tc>
          <w:tcPr>
            <w:tcW w:type="dxa" w:w="9360"/>
            <w:gridSpan w:val="5"/>
            <w:tcBorders>
              <w:top w:val="single" w:color="2B6CB0" w:sz="1"/>
              <w:left w:val="single" w:color="2B6CB0" w:sz="1"/>
              <w:bottom w:val="single" w:color="2B6CB0" w:sz="1"/>
              <w:right w:val="single" w:color="2B6CB0" w:sz="1"/>
            </w:tcBorders>
            <w:shd w:fill="2B6CB0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Stage 1 — Landing + Waitlist</w:t>
            </w:r>
          </w:p>
        </w:tc>
      </w:tr>
      <w:tr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B6CB0"/>
                <w:sz w:val="17"/>
                <w:szCs w:val="17"/>
              </w:rPr>
              <w:t xml:space="preserve">BR-S1-001</w:t>
            </w:r>
          </w:p>
          <w:p>
            <w:r>
              <w:rPr>
                <w:rFonts w:ascii="Arial" w:cs="Arial" w:eastAsia="Arial" w:hAnsi="Arial"/>
                <w:color w:val="4A5568"/>
                <w:sz w:val="15"/>
                <w:szCs w:val="15"/>
              </w:rPr>
              <w:t xml:space="preserve">v1.0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D3748"/>
                <w:sz w:val="18"/>
                <w:szCs w:val="18"/>
              </w:rPr>
              <w:t xml:space="preserve">No duplicate waitlist emails</w:t>
            </w:r>
          </w:p>
        </w:tc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B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B6CB0"/>
                <w:sz w:val="16"/>
                <w:szCs w:val="16"/>
              </w:rPr>
              <w:t xml:space="preserve">MEDIUM</w:t>
            </w:r>
          </w:p>
        </w:tc>
        <w:tc>
          <w:tcPr>
            <w:tcW w:type="dxa" w:w="2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A second submission with the same email must be rejected. Show friendly message.</w:t>
            </w:r>
          </w:p>
        </w:tc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6"/>
                <w:szCs w:val="16"/>
              </w:rPr>
              <w:t xml:space="preserve">US-002</w:t>
            </w:r>
          </w:p>
        </w:tc>
      </w:tr>
      <w:tr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B6CB0"/>
                <w:sz w:val="17"/>
                <w:szCs w:val="17"/>
              </w:rPr>
              <w:t xml:space="preserve">BR-S1-002</w:t>
            </w:r>
          </w:p>
          <w:p>
            <w:r>
              <w:rPr>
                <w:rFonts w:ascii="Arial" w:cs="Arial" w:eastAsia="Arial" w:hAnsi="Arial"/>
                <w:color w:val="4A5568"/>
                <w:sz w:val="15"/>
                <w:szCs w:val="15"/>
              </w:rPr>
              <w:t xml:space="preserve">v1.0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D3748"/>
                <w:sz w:val="18"/>
                <w:szCs w:val="18"/>
              </w:rPr>
              <w:t xml:space="preserve">No PII to Posthog</w:t>
            </w:r>
          </w:p>
        </w:tc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B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7791F"/>
                <w:sz w:val="16"/>
                <w:szCs w:val="16"/>
              </w:rPr>
              <w:t xml:space="preserve">HIGH</w:t>
            </w:r>
          </w:p>
        </w:tc>
        <w:tc>
          <w:tcPr>
            <w:tcW w:type="dxa" w:w="2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No personally identifiable information (names, emails, phone numbers) is ever sent to Posthog analytics.</w:t>
            </w:r>
          </w:p>
        </w:tc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6"/>
                <w:szCs w:val="16"/>
              </w:rPr>
              <w:t xml:space="preserve">US-004</w:t>
            </w:r>
          </w:p>
        </w:tc>
      </w:tr>
      <w:tr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B6CB0"/>
                <w:sz w:val="17"/>
                <w:szCs w:val="17"/>
              </w:rPr>
              <w:t xml:space="preserve">BR-S1-003</w:t>
            </w:r>
          </w:p>
          <w:p>
            <w:r>
              <w:rPr>
                <w:rFonts w:ascii="Arial" w:cs="Arial" w:eastAsia="Arial" w:hAnsi="Arial"/>
                <w:color w:val="4A5568"/>
                <w:sz w:val="15"/>
                <w:szCs w:val="15"/>
              </w:rPr>
              <w:t xml:space="preserve">v1.0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D3748"/>
                <w:sz w:val="18"/>
                <w:szCs w:val="18"/>
              </w:rPr>
              <w:t xml:space="preserve">Waitlist data never sold or shared</w:t>
            </w:r>
          </w:p>
        </w:tc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B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7791F"/>
                <w:sz w:val="16"/>
                <w:szCs w:val="16"/>
              </w:rPr>
              <w:t xml:space="preserve">HIGH</w:t>
            </w:r>
          </w:p>
        </w:tc>
        <w:tc>
          <w:tcPr>
            <w:tcW w:type="dxa" w:w="2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No waitlist signup data is ever shared with or sold to third parties.</w:t>
            </w:r>
          </w:p>
        </w:tc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6"/>
                <w:szCs w:val="16"/>
              </w:rPr>
              <w:t xml:space="preserve">US-002</w:t>
            </w:r>
          </w:p>
        </w:tc>
      </w:tr>
      <w:tr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B6CB0"/>
                <w:sz w:val="17"/>
                <w:szCs w:val="17"/>
              </w:rPr>
              <w:t xml:space="preserve">BR-S1-004</w:t>
            </w:r>
          </w:p>
          <w:p>
            <w:r>
              <w:rPr>
                <w:rFonts w:ascii="Arial" w:cs="Arial" w:eastAsia="Arial" w:hAnsi="Arial"/>
                <w:color w:val="4A5568"/>
                <w:sz w:val="15"/>
                <w:szCs w:val="15"/>
              </w:rPr>
              <w:t xml:space="preserve">v1.0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D3748"/>
                <w:sz w:val="18"/>
                <w:szCs w:val="18"/>
              </w:rPr>
              <w:t xml:space="preserve">UTM params captured with every signup</w:t>
            </w:r>
          </w:p>
        </w:tc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F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5E3A"/>
                <w:sz w:val="16"/>
                <w:szCs w:val="16"/>
              </w:rPr>
              <w:t xml:space="preserve">LOW</w:t>
            </w:r>
          </w:p>
        </w:tc>
        <w:tc>
          <w:tcPr>
            <w:tcW w:type="dxa" w:w="2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Source UTM params (source, medium, campaign) must be stored alongside each signup if present in the URL.</w:t>
            </w:r>
          </w:p>
        </w:tc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6"/>
                <w:szCs w:val="16"/>
              </w:rPr>
              <w:t xml:space="preserve">US-002</w:t>
            </w:r>
          </w:p>
        </w:tc>
      </w:tr>
      <w:tr>
        <w:tc>
          <w:tcPr>
            <w:tcW w:type="dxa" w:w="9360"/>
            <w:gridSpan w:val="5"/>
            <w:tcBorders>
              <w:top w:val="single" w:color="2B6CB0" w:sz="1"/>
              <w:left w:val="single" w:color="2B6CB0" w:sz="1"/>
              <w:bottom w:val="single" w:color="2B6CB0" w:sz="1"/>
              <w:right w:val="single" w:color="2B6CB0" w:sz="1"/>
            </w:tcBorders>
            <w:shd w:fill="2B6CB0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Stage 2 — Core SMS Review Flow (NZ)</w:t>
            </w:r>
          </w:p>
        </w:tc>
      </w:tr>
      <w:tr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B6CB0"/>
                <w:sz w:val="17"/>
                <w:szCs w:val="17"/>
              </w:rPr>
              <w:t xml:space="preserve">BR-S2-001</w:t>
            </w:r>
          </w:p>
          <w:p>
            <w:r>
              <w:rPr>
                <w:rFonts w:ascii="Arial" w:cs="Arial" w:eastAsia="Arial" w:hAnsi="Arial"/>
                <w:color w:val="4A5568"/>
                <w:sz w:val="15"/>
                <w:szCs w:val="15"/>
              </w:rPr>
              <w:t xml:space="preserve">v1.0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D3748"/>
                <w:sz w:val="18"/>
                <w:szCs w:val="18"/>
              </w:rPr>
              <w:t xml:space="preserve">Unhappy customers NEVER sent to Google</w:t>
            </w:r>
          </w:p>
        </w:tc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B2335"/>
                <w:sz w:val="16"/>
                <w:szCs w:val="16"/>
              </w:rPr>
              <w:t xml:space="preserve">CRITICAL</w:t>
            </w:r>
          </w:p>
        </w:tc>
        <w:tc>
          <w:tcPr>
            <w:tcW w:type="dxa" w:w="2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When a customer rates 1, 2, or 3 stars they must not be directed to Google at any point in the flow. Private feedback only.</w:t>
            </w:r>
          </w:p>
        </w:tc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6"/>
                <w:szCs w:val="16"/>
              </w:rPr>
              <w:t xml:space="preserve">US-011</w:t>
            </w:r>
          </w:p>
        </w:tc>
      </w:tr>
      <w:tr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B6CB0"/>
                <w:sz w:val="17"/>
                <w:szCs w:val="17"/>
              </w:rPr>
              <w:t xml:space="preserve">BR-S2-002</w:t>
            </w:r>
          </w:p>
          <w:p>
            <w:r>
              <w:rPr>
                <w:rFonts w:ascii="Arial" w:cs="Arial" w:eastAsia="Arial" w:hAnsi="Arial"/>
                <w:color w:val="4A5568"/>
                <w:sz w:val="15"/>
                <w:szCs w:val="15"/>
              </w:rPr>
              <w:t xml:space="preserve">v1.0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D3748"/>
                <w:sz w:val="18"/>
                <w:szCs w:val="18"/>
              </w:rPr>
              <w:t xml:space="preserve">Every SMS must include "Reply STOP to opt out"</w:t>
            </w:r>
          </w:p>
        </w:tc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B2335"/>
                <w:sz w:val="16"/>
                <w:szCs w:val="16"/>
              </w:rPr>
              <w:t xml:space="preserve">CRITICAL</w:t>
            </w:r>
          </w:p>
        </w:tc>
        <w:tc>
          <w:tcPr>
            <w:tcW w:type="dxa" w:w="2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The STOP opt-out instruction is mandatory in every outbound SMS. It cannot be removed by the owner or template customisation.</w:t>
            </w:r>
          </w:p>
        </w:tc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6"/>
                <w:szCs w:val="16"/>
              </w:rPr>
              <w:t xml:space="preserve">US-007, US-017</w:t>
            </w:r>
          </w:p>
        </w:tc>
      </w:tr>
      <w:tr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B6CB0"/>
                <w:sz w:val="17"/>
                <w:szCs w:val="17"/>
              </w:rPr>
              <w:t xml:space="preserve">BR-S2-003</w:t>
            </w:r>
          </w:p>
          <w:p>
            <w:r>
              <w:rPr>
                <w:rFonts w:ascii="Arial" w:cs="Arial" w:eastAsia="Arial" w:hAnsi="Arial"/>
                <w:color w:val="4A5568"/>
                <w:sz w:val="15"/>
                <w:szCs w:val="15"/>
              </w:rPr>
              <w:t xml:space="preserve">v1.0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D3748"/>
                <w:sz w:val="18"/>
                <w:szCs w:val="18"/>
              </w:rPr>
              <w:t xml:space="preserve">STOP opt-outs are permanent — owner cannot override</w:t>
            </w:r>
          </w:p>
        </w:tc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B2335"/>
                <w:sz w:val="16"/>
                <w:szCs w:val="16"/>
              </w:rPr>
              <w:t xml:space="preserve">CRITICAL</w:t>
            </w:r>
          </w:p>
        </w:tc>
        <w:tc>
          <w:tcPr>
            <w:tcW w:type="dxa" w:w="2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Once a customer opts out via STOP, no further SMS is sent from that business. Owner cannot remove or bypass the opt-out.</w:t>
            </w:r>
          </w:p>
        </w:tc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6"/>
                <w:szCs w:val="16"/>
              </w:rPr>
              <w:t xml:space="preserve">US-013</w:t>
            </w:r>
          </w:p>
        </w:tc>
      </w:tr>
      <w:tr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B6CB0"/>
                <w:sz w:val="17"/>
                <w:szCs w:val="17"/>
              </w:rPr>
              <w:t xml:space="preserve">BR-S2-004</w:t>
            </w:r>
          </w:p>
          <w:p>
            <w:r>
              <w:rPr>
                <w:rFonts w:ascii="Arial" w:cs="Arial" w:eastAsia="Arial" w:hAnsi="Arial"/>
                <w:color w:val="4A5568"/>
                <w:sz w:val="15"/>
                <w:szCs w:val="15"/>
              </w:rPr>
              <w:t xml:space="preserve">v1.0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D3748"/>
                <w:sz w:val="18"/>
                <w:szCs w:val="18"/>
              </w:rPr>
              <w:t xml:space="preserve">Every SMS must include the business name</w:t>
            </w:r>
          </w:p>
        </w:tc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B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7791F"/>
                <w:sz w:val="16"/>
                <w:szCs w:val="16"/>
              </w:rPr>
              <w:t xml:space="preserve">HIGH</w:t>
            </w:r>
          </w:p>
        </w:tc>
        <w:tc>
          <w:tcPr>
            <w:tcW w:type="dxa" w:w="2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The sending business name must appear in every SMS. Template variable [BusinessName] is mandatory.</w:t>
            </w:r>
          </w:p>
        </w:tc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6"/>
                <w:szCs w:val="16"/>
              </w:rPr>
              <w:t xml:space="preserve">US-007</w:t>
            </w:r>
          </w:p>
        </w:tc>
      </w:tr>
      <w:tr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B6CB0"/>
                <w:sz w:val="17"/>
                <w:szCs w:val="17"/>
              </w:rPr>
              <w:t xml:space="preserve">BR-S2-005</w:t>
            </w:r>
          </w:p>
          <w:p>
            <w:r>
              <w:rPr>
                <w:rFonts w:ascii="Arial" w:cs="Arial" w:eastAsia="Arial" w:hAnsi="Arial"/>
                <w:color w:val="4A5568"/>
                <w:sz w:val="15"/>
                <w:szCs w:val="15"/>
              </w:rPr>
              <w:t xml:space="preserve">v1.0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D3748"/>
                <w:sz w:val="18"/>
                <w:szCs w:val="18"/>
              </w:rPr>
              <w:t xml:space="preserve">Review request links are single-use</w:t>
            </w:r>
          </w:p>
        </w:tc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B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7791F"/>
                <w:sz w:val="16"/>
                <w:szCs w:val="16"/>
              </w:rPr>
              <w:t xml:space="preserve">HIGH</w:t>
            </w:r>
          </w:p>
        </w:tc>
        <w:tc>
          <w:tcPr>
            <w:tcW w:type="dxa" w:w="2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If the customer has already submitted a rating, the link shows "Thanks, we already have your feedback!" — no second submission.</w:t>
            </w:r>
          </w:p>
        </w:tc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6"/>
                <w:szCs w:val="16"/>
              </w:rPr>
              <w:t xml:space="preserve">US-009</w:t>
            </w:r>
          </w:p>
        </w:tc>
      </w:tr>
      <w:tr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B6CB0"/>
                <w:sz w:val="17"/>
                <w:szCs w:val="17"/>
              </w:rPr>
              <w:t xml:space="preserve">BR-S2-006</w:t>
            </w:r>
          </w:p>
          <w:p>
            <w:r>
              <w:rPr>
                <w:rFonts w:ascii="Arial" w:cs="Arial" w:eastAsia="Arial" w:hAnsi="Arial"/>
                <w:color w:val="4A5568"/>
                <w:sz w:val="15"/>
                <w:szCs w:val="15"/>
              </w:rPr>
              <w:t xml:space="preserve">v1.0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D3748"/>
                <w:sz w:val="18"/>
                <w:szCs w:val="18"/>
              </w:rPr>
              <w:t xml:space="preserve">Maximum 1 SMS per customer per 30 days per business</w:t>
            </w:r>
          </w:p>
        </w:tc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B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7791F"/>
                <w:sz w:val="16"/>
                <w:szCs w:val="16"/>
              </w:rPr>
              <w:t xml:space="preserve">HIGH</w:t>
            </w:r>
          </w:p>
        </w:tc>
        <w:tc>
          <w:tcPr>
            <w:tcW w:type="dxa" w:w="2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A customer cannot receive more than one review request from the same business within a 30-day window.</w:t>
            </w:r>
          </w:p>
        </w:tc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6"/>
                <w:szCs w:val="16"/>
              </w:rPr>
              <w:t xml:space="preserve">US-007, US-008</w:t>
            </w:r>
          </w:p>
        </w:tc>
      </w:tr>
      <w:tr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B6CB0"/>
                <w:sz w:val="17"/>
                <w:szCs w:val="17"/>
              </w:rPr>
              <w:t xml:space="preserve">BR-S2-007</w:t>
            </w:r>
          </w:p>
          <w:p>
            <w:r>
              <w:rPr>
                <w:rFonts w:ascii="Arial" w:cs="Arial" w:eastAsia="Arial" w:hAnsi="Arial"/>
                <w:color w:val="4A5568"/>
                <w:sz w:val="15"/>
                <w:szCs w:val="15"/>
              </w:rPr>
              <w:t xml:space="preserve">v1.0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D3748"/>
                <w:sz w:val="18"/>
                <w:szCs w:val="18"/>
              </w:rPr>
              <w:t xml:space="preserve">Phone numbers stored hashed (SHA-256) — never plaintext</w:t>
            </w:r>
          </w:p>
        </w:tc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B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7791F"/>
                <w:sz w:val="16"/>
                <w:szCs w:val="16"/>
              </w:rPr>
              <w:t xml:space="preserve">HIGH</w:t>
            </w:r>
          </w:p>
        </w:tc>
        <w:tc>
          <w:tcPr>
            <w:tcW w:type="dxa" w:w="2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Customer phone numbers in the opt-out list and all exports are stored as SHA-256 hashes only.</w:t>
            </w:r>
          </w:p>
        </w:tc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6"/>
                <w:szCs w:val="16"/>
              </w:rPr>
              <w:t xml:space="preserve">US-013</w:t>
            </w:r>
          </w:p>
        </w:tc>
      </w:tr>
      <w:tr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B6CB0"/>
                <w:sz w:val="17"/>
                <w:szCs w:val="17"/>
              </w:rPr>
              <w:t xml:space="preserve">BR-S2-008</w:t>
            </w:r>
          </w:p>
          <w:p>
            <w:r>
              <w:rPr>
                <w:rFonts w:ascii="Arial" w:cs="Arial" w:eastAsia="Arial" w:hAnsi="Arial"/>
                <w:color w:val="4A5568"/>
                <w:sz w:val="15"/>
                <w:szCs w:val="15"/>
              </w:rPr>
              <w:t xml:space="preserve">v1.0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D3748"/>
                <w:sz w:val="18"/>
                <w:szCs w:val="18"/>
              </w:rPr>
              <w:t xml:space="preserve">Review request links expire after 30 days</w:t>
            </w:r>
          </w:p>
        </w:tc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B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B6CB0"/>
                <w:sz w:val="16"/>
                <w:szCs w:val="16"/>
              </w:rPr>
              <w:t xml:space="preserve">MEDIUM</w:t>
            </w:r>
          </w:p>
        </w:tc>
        <w:tc>
          <w:tcPr>
            <w:tcW w:type="dxa" w:w="2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Links older than 30 days from the send date are expired and show an appropriate message.</w:t>
            </w:r>
          </w:p>
        </w:tc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6"/>
                <w:szCs w:val="16"/>
              </w:rPr>
              <w:t xml:space="preserve">US-009</w:t>
            </w:r>
          </w:p>
        </w:tc>
      </w:tr>
      <w:tr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B6CB0"/>
                <w:sz w:val="17"/>
                <w:szCs w:val="17"/>
              </w:rPr>
              <w:t xml:space="preserve">BR-S2-009</w:t>
            </w:r>
          </w:p>
          <w:p>
            <w:r>
              <w:rPr>
                <w:rFonts w:ascii="Arial" w:cs="Arial" w:eastAsia="Arial" w:hAnsi="Arial"/>
                <w:color w:val="4A5568"/>
                <w:sz w:val="15"/>
                <w:szCs w:val="15"/>
              </w:rPr>
              <w:t xml:space="preserve">v1.0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D3748"/>
                <w:sz w:val="18"/>
                <w:szCs w:val="18"/>
              </w:rPr>
              <w:t xml:space="preserve">No more than 1 follow-up SMS per original request</w:t>
            </w:r>
          </w:p>
        </w:tc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B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B6CB0"/>
                <w:sz w:val="16"/>
                <w:szCs w:val="16"/>
              </w:rPr>
              <w:t xml:space="preserve">MEDIUM</w:t>
            </w:r>
          </w:p>
        </w:tc>
        <w:tc>
          <w:tcPr>
            <w:tcW w:type="dxa" w:w="2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Reactivation and recovery flows cannot send more than 1 additional SMS per original review request.</w:t>
            </w:r>
          </w:p>
        </w:tc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6"/>
                <w:szCs w:val="16"/>
              </w:rPr>
              <w:t xml:space="preserve">US-040, US-044</w:t>
            </w:r>
          </w:p>
        </w:tc>
      </w:tr>
      <w:tr>
        <w:tc>
          <w:tcPr>
            <w:tcW w:type="dxa" w:w="9360"/>
            <w:gridSpan w:val="5"/>
            <w:tcBorders>
              <w:top w:val="single" w:color="2B6CB0" w:sz="1"/>
              <w:left w:val="single" w:color="2B6CB0" w:sz="1"/>
              <w:bottom w:val="single" w:color="2B6CB0" w:sz="1"/>
              <w:right w:val="single" w:color="2B6CB0" w:sz="1"/>
            </w:tcBorders>
            <w:shd w:fill="2B6CB0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Stage 4 — AI Features</w:t>
            </w:r>
          </w:p>
        </w:tc>
      </w:tr>
      <w:tr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B6CB0"/>
                <w:sz w:val="17"/>
                <w:szCs w:val="17"/>
              </w:rPr>
              <w:t xml:space="preserve">BR-S4-001</w:t>
            </w:r>
          </w:p>
          <w:p>
            <w:r>
              <w:rPr>
                <w:rFonts w:ascii="Arial" w:cs="Arial" w:eastAsia="Arial" w:hAnsi="Arial"/>
                <w:color w:val="4A5568"/>
                <w:sz w:val="15"/>
                <w:szCs w:val="15"/>
              </w:rPr>
              <w:t xml:space="preserve">v1.0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D3748"/>
                <w:sz w:val="18"/>
                <w:szCs w:val="18"/>
              </w:rPr>
              <w:t xml:space="preserve">No customer PII beyond first name sent to AI model</w:t>
            </w:r>
          </w:p>
        </w:tc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B2335"/>
                <w:sz w:val="16"/>
                <w:szCs w:val="16"/>
              </w:rPr>
              <w:t xml:space="preserve">CRITICAL</w:t>
            </w:r>
          </w:p>
        </w:tc>
        <w:tc>
          <w:tcPr>
            <w:tcW w:type="dxa" w:w="2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AI features (review writing assist, response drafts, recovery suggestions) must not include customer phone numbers, emails, or full names in any AI model API call.</w:t>
            </w:r>
          </w:p>
        </w:tc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6"/>
                <w:szCs w:val="16"/>
              </w:rPr>
              <w:t xml:space="preserve">US-037, US-045</w:t>
            </w:r>
          </w:p>
        </w:tc>
      </w:tr>
      <w:tr>
        <w:tc>
          <w:tcPr>
            <w:tcW w:type="dxa" w:w="9360"/>
            <w:gridSpan w:val="5"/>
            <w:tcBorders>
              <w:top w:val="single" w:color="2B6CB0" w:sz="1"/>
              <w:left w:val="single" w:color="2B6CB0" w:sz="1"/>
              <w:bottom w:val="single" w:color="2B6CB0" w:sz="1"/>
              <w:right w:val="single" w:color="2B6CB0" w:sz="1"/>
            </w:tcBorders>
            <w:shd w:fill="2B6CB0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Stage 5 — Stripe Billing (NZ)</w:t>
            </w:r>
          </w:p>
        </w:tc>
      </w:tr>
      <w:tr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B6CB0"/>
                <w:sz w:val="17"/>
                <w:szCs w:val="17"/>
              </w:rPr>
              <w:t xml:space="preserve">BR-S5-001</w:t>
            </w:r>
          </w:p>
          <w:p>
            <w:r>
              <w:rPr>
                <w:rFonts w:ascii="Arial" w:cs="Arial" w:eastAsia="Arial" w:hAnsi="Arial"/>
                <w:color w:val="4A5568"/>
                <w:sz w:val="15"/>
                <w:szCs w:val="15"/>
              </w:rPr>
              <w:t xml:space="preserve">v1.0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D3748"/>
                <w:sz w:val="18"/>
                <w:szCs w:val="18"/>
              </w:rPr>
              <w:t xml:space="preserve">All NZ billing in NZD — no USD</w:t>
            </w:r>
          </w:p>
        </w:tc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B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7791F"/>
                <w:sz w:val="16"/>
                <w:szCs w:val="16"/>
              </w:rPr>
              <w:t xml:space="preserve">HIGH</w:t>
            </w:r>
          </w:p>
        </w:tc>
        <w:tc>
          <w:tcPr>
            <w:tcW w:type="dxa" w:w="2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Stripe Checkout and all displayed prices for NZ accounts must be in NZD. No USD amounts displayed to NZ customers.</w:t>
            </w:r>
          </w:p>
        </w:tc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6"/>
                <w:szCs w:val="16"/>
              </w:rPr>
              <w:t xml:space="preserve">US-024</w:t>
            </w:r>
          </w:p>
        </w:tc>
      </w:tr>
      <w:tr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B6CB0"/>
                <w:sz w:val="17"/>
                <w:szCs w:val="17"/>
              </w:rPr>
              <w:t xml:space="preserve">BR-S5-002</w:t>
            </w:r>
          </w:p>
          <w:p>
            <w:r>
              <w:rPr>
                <w:rFonts w:ascii="Arial" w:cs="Arial" w:eastAsia="Arial" w:hAnsi="Arial"/>
                <w:color w:val="4A5568"/>
                <w:sz w:val="15"/>
                <w:szCs w:val="15"/>
              </w:rPr>
              <w:t xml:space="preserve">v1.0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D3748"/>
                <w:sz w:val="18"/>
                <w:szCs w:val="18"/>
              </w:rPr>
              <w:t xml:space="preserve">Suspended accounts cannot send SMS</w:t>
            </w:r>
          </w:p>
        </w:tc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B2335"/>
                <w:sz w:val="16"/>
                <w:szCs w:val="16"/>
              </w:rPr>
              <w:t xml:space="preserve">CRITICAL</w:t>
            </w:r>
          </w:p>
        </w:tc>
        <w:tc>
          <w:tcPr>
            <w:tcW w:type="dxa" w:w="2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When a trial expires or payment fails for 7+ days, the account is suspended and cannot send any SMS messages.</w:t>
            </w:r>
          </w:p>
        </w:tc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6"/>
                <w:szCs w:val="16"/>
              </w:rPr>
              <w:t xml:space="preserve">US-023, US-027</w:t>
            </w:r>
          </w:p>
        </w:tc>
      </w:tr>
      <w:tr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B6CB0"/>
                <w:sz w:val="17"/>
                <w:szCs w:val="17"/>
              </w:rPr>
              <w:t xml:space="preserve">BR-S5-003</w:t>
            </w:r>
          </w:p>
          <w:p>
            <w:r>
              <w:rPr>
                <w:rFonts w:ascii="Arial" w:cs="Arial" w:eastAsia="Arial" w:hAnsi="Arial"/>
                <w:color w:val="4A5568"/>
                <w:sz w:val="15"/>
                <w:szCs w:val="15"/>
              </w:rPr>
              <w:t xml:space="preserve">v1.0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D3748"/>
                <w:sz w:val="18"/>
                <w:szCs w:val="18"/>
              </w:rPr>
              <w:t xml:space="preserve">Zovku never stores or transmits raw card numbers</w:t>
            </w:r>
          </w:p>
        </w:tc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B2335"/>
                <w:sz w:val="16"/>
                <w:szCs w:val="16"/>
              </w:rPr>
              <w:t xml:space="preserve">CRITICAL</w:t>
            </w:r>
          </w:p>
        </w:tc>
        <w:tc>
          <w:tcPr>
            <w:tcW w:type="dxa" w:w="2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All payment card data is handled exclusively by Stripe. Zovku stores no raw card numbers anywhere.</w:t>
            </w:r>
          </w:p>
        </w:tc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6"/>
                <w:szCs w:val="16"/>
              </w:rPr>
              <w:t xml:space="preserve">US-024</w:t>
            </w:r>
          </w:p>
        </w:tc>
      </w:tr>
      <w:tr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B6CB0"/>
                <w:sz w:val="17"/>
                <w:szCs w:val="17"/>
              </w:rPr>
              <w:t xml:space="preserve">BR-S5-004</w:t>
            </w:r>
          </w:p>
          <w:p>
            <w:r>
              <w:rPr>
                <w:rFonts w:ascii="Arial" w:cs="Arial" w:eastAsia="Arial" w:hAnsi="Arial"/>
                <w:color w:val="4A5568"/>
                <w:sz w:val="15"/>
                <w:szCs w:val="15"/>
              </w:rPr>
              <w:t xml:space="preserve">v1.0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D3748"/>
                <w:sz w:val="18"/>
                <w:szCs w:val="18"/>
              </w:rPr>
              <w:t xml:space="preserve">NZ invoices must include GST breakdown</w:t>
            </w:r>
          </w:p>
        </w:tc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B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B6CB0"/>
                <w:sz w:val="16"/>
                <w:szCs w:val="16"/>
              </w:rPr>
              <w:t xml:space="preserve">MEDIUM</w:t>
            </w:r>
          </w:p>
        </w:tc>
        <w:tc>
          <w:tcPr>
            <w:tcW w:type="dxa" w:w="2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All invoices for NZ accounts must show GST as a separate line item.</w:t>
            </w:r>
          </w:p>
        </w:tc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6"/>
                <w:szCs w:val="16"/>
              </w:rPr>
              <w:t xml:space="preserve">US-026</w:t>
            </w:r>
          </w:p>
        </w:tc>
      </w:tr>
      <w:tr>
        <w:tc>
          <w:tcPr>
            <w:tcW w:type="dxa" w:w="9360"/>
            <w:gridSpan w:val="5"/>
            <w:tcBorders>
              <w:top w:val="single" w:color="B7791F" w:sz="1"/>
              <w:left w:val="single" w:color="B7791F" w:sz="1"/>
              <w:bottom w:val="single" w:color="B7791F" w:sz="1"/>
              <w:right w:val="single" w:color="B7791F" w:sz="1"/>
            </w:tcBorders>
            <w:shd w:fill="B7791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Stage 8 — Australia Expansion</w:t>
            </w:r>
          </w:p>
        </w:tc>
      </w:tr>
      <w:tr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B6CB0"/>
                <w:sz w:val="17"/>
                <w:szCs w:val="17"/>
              </w:rPr>
              <w:t xml:space="preserve">BR-S8-001</w:t>
            </w:r>
          </w:p>
          <w:p>
            <w:r>
              <w:rPr>
                <w:rFonts w:ascii="Arial" w:cs="Arial" w:eastAsia="Arial" w:hAnsi="Arial"/>
                <w:color w:val="4A5568"/>
                <w:sz w:val="15"/>
                <w:szCs w:val="15"/>
              </w:rPr>
              <w:t xml:space="preserve">v1.0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D3748"/>
                <w:sz w:val="18"/>
                <w:szCs w:val="18"/>
              </w:rPr>
              <w:t xml:space="preserve">AU billing in AUD — not NZD</w:t>
            </w:r>
          </w:p>
        </w:tc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B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7791F"/>
                <w:sz w:val="16"/>
                <w:szCs w:val="16"/>
              </w:rPr>
              <w:t xml:space="preserve">HIGH</w:t>
            </w:r>
          </w:p>
        </w:tc>
        <w:tc>
          <w:tcPr>
            <w:tcW w:type="dxa" w:w="2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Stripe is configured to charge AU accounts in AUD. All displayed prices for AU accounts are in AUD.</w:t>
            </w:r>
          </w:p>
        </w:tc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6"/>
                <w:szCs w:val="16"/>
              </w:rPr>
              <w:t xml:space="preserve">US-?? (AU)</w:t>
            </w:r>
          </w:p>
        </w:tc>
      </w:tr>
      <w:tr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B6CB0"/>
                <w:sz w:val="17"/>
                <w:szCs w:val="17"/>
              </w:rPr>
              <w:t xml:space="preserve">BR-S8-002</w:t>
            </w:r>
          </w:p>
          <w:p>
            <w:r>
              <w:rPr>
                <w:rFonts w:ascii="Arial" w:cs="Arial" w:eastAsia="Arial" w:hAnsi="Arial"/>
                <w:color w:val="4A5568"/>
                <w:sz w:val="15"/>
                <w:szCs w:val="15"/>
              </w:rPr>
              <w:t xml:space="preserve">v1.0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D3748"/>
                <w:sz w:val="18"/>
                <w:szCs w:val="18"/>
              </w:rPr>
              <w:t xml:space="preserve">AU opt-outs processed immediately and permanently</w:t>
            </w:r>
          </w:p>
        </w:tc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B2335"/>
                <w:sz w:val="16"/>
                <w:szCs w:val="16"/>
              </w:rPr>
              <w:t xml:space="preserve">CRITICAL</w:t>
            </w:r>
          </w:p>
        </w:tc>
        <w:tc>
          <w:tcPr>
            <w:tcW w:type="dxa" w:w="2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Australian STOP opt-outs must be processed immediately and stored permanently. ACMA compliance requirement.</w:t>
            </w:r>
          </w:p>
        </w:tc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6"/>
                <w:szCs w:val="16"/>
              </w:rPr>
              <w:t xml:space="preserve">US-?? (AU)</w:t>
            </w:r>
          </w:p>
        </w:tc>
      </w:tr>
      <w:tr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B6CB0"/>
                <w:sz w:val="17"/>
                <w:szCs w:val="17"/>
              </w:rPr>
              <w:t xml:space="preserve">BR-S8-003</w:t>
            </w:r>
          </w:p>
          <w:p>
            <w:r>
              <w:rPr>
                <w:rFonts w:ascii="Arial" w:cs="Arial" w:eastAsia="Arial" w:hAnsi="Arial"/>
                <w:color w:val="4A5568"/>
                <w:sz w:val="15"/>
                <w:szCs w:val="15"/>
              </w:rPr>
              <w:t xml:space="preserve">v1.0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D3748"/>
                <w:sz w:val="18"/>
                <w:szCs w:val="18"/>
              </w:rPr>
              <w:t xml:space="preserve">AU SMS must include business name and STOP mechanism</w:t>
            </w:r>
          </w:p>
        </w:tc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B2335"/>
                <w:sz w:val="16"/>
                <w:szCs w:val="16"/>
              </w:rPr>
              <w:t xml:space="preserve">CRITICAL</w:t>
            </w:r>
          </w:p>
        </w:tc>
        <w:tc>
          <w:tcPr>
            <w:tcW w:type="dxa" w:w="2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All SMS to AU numbers must include the business name (sender identity) and a functional opt-out (REPLY STOP). Spam Act 2003 requirement.</w:t>
            </w:r>
          </w:p>
        </w:tc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6"/>
                <w:szCs w:val="16"/>
              </w:rPr>
              <w:t xml:space="preserve">US-?? (AU)</w:t>
            </w:r>
          </w:p>
        </w:tc>
      </w:tr>
      <w:tr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B6CB0"/>
                <w:sz w:val="17"/>
                <w:szCs w:val="17"/>
              </w:rPr>
              <w:t xml:space="preserve">BR-S8-004</w:t>
            </w:r>
          </w:p>
          <w:p>
            <w:r>
              <w:rPr>
                <w:rFonts w:ascii="Arial" w:cs="Arial" w:eastAsia="Arial" w:hAnsi="Arial"/>
                <w:color w:val="4A5568"/>
                <w:sz w:val="15"/>
                <w:szCs w:val="15"/>
              </w:rPr>
              <w:t xml:space="preserve">v1.0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D3748"/>
                <w:sz w:val="18"/>
                <w:szCs w:val="18"/>
              </w:rPr>
              <w:t xml:space="preserve">AU invoices must include GST at 10%</w:t>
            </w:r>
          </w:p>
        </w:tc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B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B6CB0"/>
                <w:sz w:val="16"/>
                <w:szCs w:val="16"/>
              </w:rPr>
              <w:t xml:space="preserve">MEDIUM</w:t>
            </w:r>
          </w:p>
        </w:tc>
        <w:tc>
          <w:tcPr>
            <w:tcW w:type="dxa" w:w="2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All invoices for AU accounts must show Australian GST at 10% as a separate line item.</w:t>
            </w:r>
          </w:p>
        </w:tc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6"/>
                <w:szCs w:val="16"/>
              </w:rPr>
              <w:t xml:space="preserve">US-?? (AU)</w:t>
            </w:r>
          </w:p>
        </w:tc>
      </w:tr>
    </w:tbl>
    <w:p>
      <w:pPr>
        <w:spacing w:after="0" w:before="12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7791F" w:sz="2"/>
              <w:left w:val="single" w:color="B7791F" w:sz="2"/>
              <w:bottom w:val="single" w:color="B7791F" w:sz="2"/>
              <w:right w:val="single" w:color="B7791F" w:sz="2"/>
            </w:tcBorders>
            <w:shd w:fill="FFFBEB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B7791F"/>
                <w:sz w:val="20"/>
                <w:szCs w:val="20"/>
              </w:rPr>
              <w:t xml:space="preserve">Severity guide: </w:t>
            </w:r>
            <w:r>
              <w:rPr>
                <w:rFonts w:ascii="Arial" w:cs="Arial" w:eastAsia="Arial" w:hAnsi="Arial"/>
                <w:color w:val="B7791F"/>
                <w:sz w:val="20"/>
                <w:szCs w:val="20"/>
              </w:rPr>
              <w:t xml:space="preserve">  critical = legal obligation or core product promise. Failure is a release blocker regardless of pass rate. high = significant compliance, privacy, or commercial integrity issue. medium = important business rule, non-critical. low = tracking, analytics, or quality-of-life constraint.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B7791F"/>
                <w:sz w:val="20"/>
                <w:szCs w:val="20"/>
              </w:rPr>
              <w:t xml:space="preserve">AU story IDs: </w:t>
            </w:r>
            <w:r>
              <w:rPr>
                <w:rFonts w:ascii="Arial" w:cs="Arial" w:eastAsia="Arial" w:hAnsi="Arial"/>
                <w:color w:val="B7791F"/>
                <w:sz w:val="20"/>
                <w:szCs w:val="20"/>
              </w:rPr>
              <w:t xml:space="preserve">  Stage 8 stories (US-??) are not yet assigned in JIRA. Update businessRuleIds in the manifest when stories are created.</w:t>
            </w:r>
          </w:p>
        </w:tc>
      </w:tr>
    </w:tbl>
    <w:p>
      <w:pPr>
        <w:spacing w:after="0" w:before="280"/>
      </w:pPr>
      <w:r>
        <w:rPr>
          <w:rFonts w:ascii="Arial" w:cs="Arial" w:eastAsia="Arial" w:hAnsi="Arial"/>
        </w:rPr>
        <w:t xml:space="preserve"/>
      </w:r>
    </w:p>
    <w:p>
      <w:pPr>
        <w:pBdr>
          <w:top w:val="single" w:color="E2E8F0" w:sz="2" w:space="8"/>
        </w:pBdr>
        <w:spacing w:before="160"/>
        <w:jc w:val="center"/>
      </w:pPr>
      <w:r>
        <w:rPr>
          <w:rFonts w:ascii="Arial" w:cs="Arial" w:eastAsia="Arial" w:hAnsi="Arial"/>
          <w:i/>
          <w:iCs/>
          <w:color w:val="4A5568"/>
          <w:sz w:val="16"/>
          <w:szCs w:val="16"/>
        </w:rPr>
        <w:t xml:space="preserve">Pathlight · Technical Architecture Document v0.3 Pre Sign-off · Kirrt Tech · May 2026  ·  Awaiting Glossary v1.1 then final sign-off</w:t>
      </w:r>
    </w:p>
    <w:sectPr>
      <w:head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2E8F0" w:sz="2" w:space="4"/>
      </w:pBdr>
      <w:spacing w:after="0"/>
    </w:pPr>
    <w:r>
      <w:rPr>
        <w:rFonts w:ascii="Arial" w:cs="Arial" w:eastAsia="Arial" w:hAnsi="Arial"/>
        <w:b/>
        <w:bCs/>
        <w:color w:val="2B6CB0"/>
        <w:sz w:val="18"/>
        <w:szCs w:val="18"/>
      </w:rPr>
      <w:t xml:space="preserve">PATHLIGHT</w:t>
    </w:r>
    <w:r>
      <w:rPr>
        <w:rFonts w:ascii="Arial" w:cs="Arial" w:eastAsia="Arial" w:hAnsi="Arial"/>
        <w:color w:val="4A5568"/>
        <w:sz w:val="16"/>
        <w:szCs w:val="16"/>
      </w:rPr>
      <w:t xml:space="preserve">   |   Technical Architecture Document   |   Kirrt Tech   |   v0.3 — Pre Sign-off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202C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00"/>
      <w:outlineLvl w:val="0"/>
    </w:pPr>
    <w:rPr>
      <w:rFonts w:ascii="Arial" w:cs="Arial" w:eastAsia="Arial" w:hAnsi="Arial"/>
      <w:b/>
      <w:bCs/>
      <w:color w:val="1A3C5E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00" w:before="280"/>
      <w:outlineLvl w:val="1"/>
    </w:pPr>
    <w:rPr>
      <w:rFonts w:ascii="Arial" w:cs="Arial" w:eastAsia="Arial" w:hAnsi="Arial"/>
      <w:b/>
      <w:bCs/>
      <w:color w:val="2B6CB0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2D3748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2026-05-21T10:14:31.176Z</dcterms:created>
  <dcterms:modified xsi:type="dcterms:W3CDTF">2026-05-21T10:14:31.189Z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