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06548" w14:textId="77777777" w:rsidR="00620ECC" w:rsidRPr="00B03CFD" w:rsidRDefault="00750602">
      <w:pPr>
        <w:spacing w:before="200" w:after="100"/>
        <w:jc w:val="center"/>
        <w:rPr>
          <w:rFonts w:ascii="Algerian" w:hAnsi="Algerian"/>
          <w:color w:val="C00000"/>
        </w:rPr>
      </w:pPr>
      <w:r w:rsidRPr="00B03CFD">
        <w:rPr>
          <w:rFonts w:ascii="Segoe UI Emoji" w:hAnsi="Segoe UI Emoji" w:cs="Segoe UI Emoji"/>
          <w:b/>
          <w:bCs/>
          <w:color w:val="C00000"/>
          <w:sz w:val="52"/>
          <w:szCs w:val="52"/>
        </w:rPr>
        <w:t>🥇</w:t>
      </w:r>
      <w:r w:rsidRPr="00B03CFD">
        <w:rPr>
          <w:rFonts w:ascii="Algerian" w:hAnsi="Algerian"/>
          <w:b/>
          <w:bCs/>
          <w:color w:val="C00000"/>
          <w:sz w:val="52"/>
          <w:szCs w:val="52"/>
        </w:rPr>
        <w:t xml:space="preserve"> Gold Price Analysis Dashboard</w:t>
      </w:r>
    </w:p>
    <w:p w14:paraId="63706549" w14:textId="1FDDE5D4" w:rsidR="00620ECC" w:rsidRPr="00122506" w:rsidRDefault="00750602">
      <w:pPr>
        <w:spacing w:after="60"/>
        <w:jc w:val="center"/>
        <w:rPr>
          <w:color w:val="0E2841" w:themeColor="text2"/>
        </w:rPr>
      </w:pPr>
      <w:r w:rsidRPr="00122506">
        <w:rPr>
          <w:i/>
          <w:iCs/>
          <w:color w:val="0E2841" w:themeColor="text2"/>
          <w:sz w:val="24"/>
          <w:szCs w:val="24"/>
        </w:rPr>
        <w:t xml:space="preserve">Yahoo Finance | 2020–2026 | </w:t>
      </w:r>
      <w:r w:rsidR="00122506">
        <w:rPr>
          <w:i/>
          <w:iCs/>
          <w:color w:val="0E2841" w:themeColor="text2"/>
          <w:sz w:val="24"/>
          <w:szCs w:val="24"/>
        </w:rPr>
        <w:t xml:space="preserve">Python and </w:t>
      </w:r>
      <w:r w:rsidRPr="00122506">
        <w:rPr>
          <w:i/>
          <w:iCs/>
          <w:color w:val="0E2841" w:themeColor="text2"/>
          <w:sz w:val="24"/>
          <w:szCs w:val="24"/>
        </w:rPr>
        <w:t>Power BI Project</w:t>
      </w:r>
    </w:p>
    <w:p w14:paraId="6370654A" w14:textId="58B07EEC" w:rsidR="00620ECC" w:rsidRPr="00122506" w:rsidRDefault="00750602">
      <w:pPr>
        <w:pBdr>
          <w:bottom w:val="single" w:sz="8" w:space="1" w:color="C0A020"/>
        </w:pBdr>
        <w:spacing w:after="400"/>
        <w:jc w:val="center"/>
        <w:rPr>
          <w:color w:val="EE0000"/>
        </w:rPr>
      </w:pPr>
      <w:r w:rsidRPr="0091259E">
        <w:rPr>
          <w:color w:val="0E2841" w:themeColor="text2"/>
          <w:sz w:val="20"/>
          <w:szCs w:val="20"/>
        </w:rPr>
        <w:t>Dataset</w:t>
      </w:r>
      <w:r w:rsidRPr="00122506">
        <w:rPr>
          <w:color w:val="EE0000"/>
          <w:sz w:val="20"/>
          <w:szCs w:val="20"/>
        </w:rPr>
        <w:t xml:space="preserve">: </w:t>
      </w:r>
      <w:proofErr w:type="spellStart"/>
      <w:r w:rsidRPr="00122506">
        <w:rPr>
          <w:color w:val="EE0000"/>
          <w:sz w:val="20"/>
          <w:szCs w:val="20"/>
        </w:rPr>
        <w:t>gold_usd_final_</w:t>
      </w:r>
      <w:proofErr w:type="gramStart"/>
      <w:r w:rsidRPr="00122506">
        <w:rPr>
          <w:color w:val="EE0000"/>
          <w:sz w:val="20"/>
          <w:szCs w:val="20"/>
        </w:rPr>
        <w:t>dataset</w:t>
      </w:r>
      <w:proofErr w:type="spellEnd"/>
      <w:r w:rsidRPr="00122506">
        <w:rPr>
          <w:color w:val="EE0000"/>
          <w:sz w:val="20"/>
          <w:szCs w:val="20"/>
        </w:rPr>
        <w:t xml:space="preserve">  |</w:t>
      </w:r>
      <w:proofErr w:type="gramEnd"/>
      <w:r w:rsidRPr="00122506">
        <w:rPr>
          <w:color w:val="EE0000"/>
          <w:sz w:val="20"/>
          <w:szCs w:val="20"/>
        </w:rPr>
        <w:t xml:space="preserve">  </w:t>
      </w:r>
      <w:r w:rsidRPr="0091259E">
        <w:rPr>
          <w:color w:val="0E2841" w:themeColor="text2"/>
          <w:sz w:val="20"/>
          <w:szCs w:val="20"/>
        </w:rPr>
        <w:t xml:space="preserve">Total Records: </w:t>
      </w:r>
      <w:proofErr w:type="gramStart"/>
      <w:r w:rsidRPr="00122506">
        <w:rPr>
          <w:color w:val="EE0000"/>
          <w:sz w:val="20"/>
          <w:szCs w:val="20"/>
        </w:rPr>
        <w:t>1,5</w:t>
      </w:r>
      <w:r w:rsidR="0091259E">
        <w:rPr>
          <w:color w:val="EE0000"/>
          <w:sz w:val="20"/>
          <w:szCs w:val="20"/>
        </w:rPr>
        <w:t>10</w:t>
      </w:r>
      <w:r w:rsidRPr="00122506">
        <w:rPr>
          <w:color w:val="EE0000"/>
          <w:sz w:val="20"/>
          <w:szCs w:val="20"/>
        </w:rPr>
        <w:t xml:space="preserve">  |</w:t>
      </w:r>
      <w:proofErr w:type="gramEnd"/>
      <w:r w:rsidRPr="00122506">
        <w:rPr>
          <w:color w:val="EE0000"/>
          <w:sz w:val="20"/>
          <w:szCs w:val="20"/>
        </w:rPr>
        <w:t xml:space="preserve">  </w:t>
      </w:r>
      <w:r w:rsidRPr="0091259E">
        <w:rPr>
          <w:color w:val="0E2841" w:themeColor="text2"/>
          <w:sz w:val="20"/>
          <w:szCs w:val="20"/>
        </w:rPr>
        <w:t>Period</w:t>
      </w:r>
      <w:r w:rsidRPr="00122506">
        <w:rPr>
          <w:color w:val="EE0000"/>
          <w:sz w:val="20"/>
          <w:szCs w:val="20"/>
        </w:rPr>
        <w:t>: Jan 2020 – Apr 2026</w:t>
      </w:r>
    </w:p>
    <w:p w14:paraId="6370654B" w14:textId="77777777" w:rsidR="00620ECC" w:rsidRDefault="00750602">
      <w:pPr>
        <w:pBdr>
          <w:bottom w:val="single" w:sz="6" w:space="1" w:color="C0A020"/>
        </w:pBdr>
        <w:spacing w:before="400" w:after="200"/>
      </w:pPr>
      <w:r>
        <w:rPr>
          <w:b/>
          <w:bCs/>
          <w:color w:val="C0A020"/>
          <w:sz w:val="36"/>
          <w:szCs w:val="36"/>
        </w:rPr>
        <w:t>📋 Project Summary</w:t>
      </w:r>
    </w:p>
    <w:p w14:paraId="6370654C" w14:textId="77777777" w:rsidR="00620ECC" w:rsidRDefault="00750602">
      <w:pPr>
        <w:spacing w:before="80" w:after="80"/>
      </w:pPr>
      <w:r>
        <w:t xml:space="preserve">This Power BI dashboard </w:t>
      </w:r>
      <w:proofErr w:type="spellStart"/>
      <w:r>
        <w:t>analyzes</w:t>
      </w:r>
      <w:proofErr w:type="spellEnd"/>
      <w:r>
        <w:t xml:space="preserve"> Gold and USD price movements from January 2020 to April 2026 using Yahoo Finance data. The project explores gold price trends, market phases, volatility patterns, and the inverse relationship between gold and the US Dollar Index (USD). The dashboard covers 1,582 trading days across 5 distinct market phases: Pre-COVID, COVID, Inflation, Recovery, and Surge.</w:t>
      </w:r>
    </w:p>
    <w:p w14:paraId="6370654D" w14:textId="77777777" w:rsidR="00620ECC" w:rsidRDefault="00620ECC">
      <w:pPr>
        <w:spacing w:before="80" w:after="80"/>
      </w:pPr>
    </w:p>
    <w:p w14:paraId="6370654E" w14:textId="77777777" w:rsidR="00620ECC" w:rsidRDefault="00750602">
      <w:pPr>
        <w:spacing w:before="80" w:after="80"/>
      </w:pPr>
      <w:r>
        <w:t>The analysis reveals that gold has delivered an exceptional return of +218.6% over the study period, rising from $1,524.50 in January 2020 to $4,857.60 by April 2026. The Surge phase was the dominant market condition with 723 trading days, while COVID period recorded the all-time low of $1,477.30 on March 18, 2020.</w:t>
      </w:r>
    </w:p>
    <w:p w14:paraId="6370654F" w14:textId="77777777" w:rsidR="00620ECC" w:rsidRDefault="00750602">
      <w:pPr>
        <w:pBdr>
          <w:bottom w:val="single" w:sz="6" w:space="1" w:color="C0A020"/>
        </w:pBdr>
        <w:spacing w:before="400" w:after="200"/>
      </w:pPr>
      <w:r>
        <w:rPr>
          <w:b/>
          <w:bCs/>
          <w:color w:val="C0A020"/>
          <w:sz w:val="36"/>
          <w:szCs w:val="36"/>
        </w:rPr>
        <w:t>📊 Key Statistics at a Glance</w:t>
      </w:r>
    </w:p>
    <w:p w14:paraId="63706550" w14:textId="77777777" w:rsidR="00620ECC" w:rsidRDefault="00620EC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500"/>
        <w:gridCol w:w="4260"/>
      </w:tblGrid>
      <w:tr w:rsidR="00620ECC" w14:paraId="63706554" w14:textId="77777777">
        <w:trPr>
          <w:tblHeader/>
        </w:trPr>
        <w:tc>
          <w:tcPr>
            <w:tcW w:w="600" w:type="dxa"/>
            <w:tcBorders>
              <w:top w:val="single" w:sz="1" w:space="0" w:color="C0A020"/>
              <w:left w:val="single" w:sz="1" w:space="0" w:color="C0A020"/>
              <w:bottom w:val="single" w:sz="1" w:space="0" w:color="C0A020"/>
              <w:right w:val="single" w:sz="1" w:space="0" w:color="C0A020"/>
            </w:tcBorders>
            <w:shd w:val="clear" w:color="auto" w:fill="1F3864"/>
            <w:tcMar>
              <w:top w:w="100" w:type="dxa"/>
              <w:left w:w="120" w:type="dxa"/>
              <w:bottom w:w="100" w:type="dxa"/>
              <w:right w:w="120" w:type="dxa"/>
            </w:tcMar>
          </w:tcPr>
          <w:p w14:paraId="63706551" w14:textId="77777777" w:rsidR="00620ECC" w:rsidRDefault="00620ECC"/>
        </w:tc>
        <w:tc>
          <w:tcPr>
            <w:tcW w:w="4500" w:type="dxa"/>
            <w:tcBorders>
              <w:top w:val="single" w:sz="1" w:space="0" w:color="C0A020"/>
              <w:left w:val="single" w:sz="1" w:space="0" w:color="C0A020"/>
              <w:bottom w:val="single" w:sz="1" w:space="0" w:color="C0A020"/>
              <w:right w:val="single" w:sz="1" w:space="0" w:color="C0A020"/>
            </w:tcBorders>
            <w:shd w:val="clear" w:color="auto" w:fill="1F3864"/>
            <w:tcMar>
              <w:top w:w="100" w:type="dxa"/>
              <w:left w:w="120" w:type="dxa"/>
              <w:bottom w:w="100" w:type="dxa"/>
              <w:right w:w="120" w:type="dxa"/>
            </w:tcMar>
          </w:tcPr>
          <w:p w14:paraId="63706552" w14:textId="77777777" w:rsidR="00620ECC" w:rsidRDefault="00750602">
            <w:r>
              <w:rPr>
                <w:b/>
                <w:bCs/>
                <w:color w:val="FFFFFF"/>
                <w:sz w:val="24"/>
                <w:szCs w:val="24"/>
              </w:rPr>
              <w:t>Metric</w:t>
            </w:r>
          </w:p>
        </w:tc>
        <w:tc>
          <w:tcPr>
            <w:tcW w:w="4260" w:type="dxa"/>
            <w:tcBorders>
              <w:top w:val="single" w:sz="1" w:space="0" w:color="C0A020"/>
              <w:left w:val="single" w:sz="1" w:space="0" w:color="C0A020"/>
              <w:bottom w:val="single" w:sz="1" w:space="0" w:color="C0A020"/>
              <w:right w:val="single" w:sz="1" w:space="0" w:color="C0A020"/>
            </w:tcBorders>
            <w:shd w:val="clear" w:color="auto" w:fill="1F3864"/>
            <w:tcMar>
              <w:top w:w="100" w:type="dxa"/>
              <w:left w:w="120" w:type="dxa"/>
              <w:bottom w:w="100" w:type="dxa"/>
              <w:right w:w="120" w:type="dxa"/>
            </w:tcMar>
          </w:tcPr>
          <w:p w14:paraId="63706553" w14:textId="77777777" w:rsidR="00620ECC" w:rsidRDefault="00750602">
            <w:pPr>
              <w:jc w:val="center"/>
            </w:pPr>
            <w:r>
              <w:rPr>
                <w:b/>
                <w:bCs/>
                <w:color w:val="FFFFFF"/>
                <w:sz w:val="24"/>
                <w:szCs w:val="24"/>
              </w:rPr>
              <w:t>Value</w:t>
            </w:r>
          </w:p>
        </w:tc>
      </w:tr>
      <w:tr w:rsidR="00620ECC" w14:paraId="63706558" w14:textId="77777777">
        <w:tc>
          <w:tcPr>
            <w:tcW w:w="6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vAlign w:val="center"/>
          </w:tcPr>
          <w:p w14:paraId="63706555" w14:textId="77777777" w:rsidR="00620ECC" w:rsidRDefault="00750602">
            <w:pPr>
              <w:jc w:val="center"/>
            </w:pPr>
            <w:r>
              <w:rPr>
                <w:sz w:val="26"/>
                <w:szCs w:val="26"/>
              </w:rPr>
              <w:t>📅</w:t>
            </w:r>
          </w:p>
        </w:tc>
        <w:tc>
          <w:tcPr>
            <w:tcW w:w="45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56" w14:textId="77777777" w:rsidR="00620ECC" w:rsidRDefault="00750602">
            <w:r>
              <w:rPr>
                <w:b/>
                <w:bCs/>
                <w:color w:val="333333"/>
              </w:rPr>
              <w:t>Data Period</w:t>
            </w:r>
          </w:p>
        </w:tc>
        <w:tc>
          <w:tcPr>
            <w:tcW w:w="4260" w:type="dxa"/>
            <w:tcBorders>
              <w:top w:val="single" w:sz="1" w:space="0" w:color="C0A020"/>
              <w:left w:val="single" w:sz="1" w:space="0" w:color="C0A020"/>
              <w:bottom w:val="single" w:sz="1" w:space="0" w:color="C0A020"/>
              <w:right w:val="single" w:sz="1" w:space="0" w:color="C0A020"/>
            </w:tcBorders>
            <w:shd w:val="clear" w:color="auto" w:fill="1F3864"/>
            <w:tcMar>
              <w:top w:w="80" w:type="dxa"/>
              <w:left w:w="120" w:type="dxa"/>
              <w:bottom w:w="80" w:type="dxa"/>
              <w:right w:w="120" w:type="dxa"/>
            </w:tcMar>
          </w:tcPr>
          <w:p w14:paraId="63706557" w14:textId="77777777" w:rsidR="00620ECC" w:rsidRDefault="00750602">
            <w:pPr>
              <w:jc w:val="center"/>
            </w:pPr>
            <w:r>
              <w:rPr>
                <w:b/>
                <w:bCs/>
                <w:color w:val="C0A020"/>
                <w:sz w:val="24"/>
                <w:szCs w:val="24"/>
              </w:rPr>
              <w:t>Jan 2020 – Apr 2026</w:t>
            </w:r>
          </w:p>
        </w:tc>
      </w:tr>
      <w:tr w:rsidR="00620ECC" w14:paraId="6370655C" w14:textId="77777777">
        <w:tc>
          <w:tcPr>
            <w:tcW w:w="6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vAlign w:val="center"/>
          </w:tcPr>
          <w:p w14:paraId="63706559" w14:textId="77777777" w:rsidR="00620ECC" w:rsidRDefault="00750602">
            <w:pPr>
              <w:jc w:val="center"/>
            </w:pPr>
            <w:r>
              <w:rPr>
                <w:sz w:val="26"/>
                <w:szCs w:val="26"/>
              </w:rPr>
              <w:t>📈</w:t>
            </w:r>
          </w:p>
        </w:tc>
        <w:tc>
          <w:tcPr>
            <w:tcW w:w="45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5A" w14:textId="77777777" w:rsidR="00620ECC" w:rsidRDefault="00750602">
            <w:r>
              <w:rPr>
                <w:b/>
                <w:bCs/>
                <w:color w:val="333333"/>
              </w:rPr>
              <w:t>Total Trading Days</w:t>
            </w:r>
          </w:p>
        </w:tc>
        <w:tc>
          <w:tcPr>
            <w:tcW w:w="4260" w:type="dxa"/>
            <w:tcBorders>
              <w:top w:val="single" w:sz="1" w:space="0" w:color="C0A020"/>
              <w:left w:val="single" w:sz="1" w:space="0" w:color="C0A020"/>
              <w:bottom w:val="single" w:sz="1" w:space="0" w:color="C0A020"/>
              <w:right w:val="single" w:sz="1" w:space="0" w:color="C0A020"/>
            </w:tcBorders>
            <w:shd w:val="clear" w:color="auto" w:fill="1F3864"/>
            <w:tcMar>
              <w:top w:w="80" w:type="dxa"/>
              <w:left w:w="120" w:type="dxa"/>
              <w:bottom w:w="80" w:type="dxa"/>
              <w:right w:w="120" w:type="dxa"/>
            </w:tcMar>
          </w:tcPr>
          <w:p w14:paraId="6370655B" w14:textId="77777777" w:rsidR="00620ECC" w:rsidRDefault="00750602">
            <w:pPr>
              <w:jc w:val="center"/>
            </w:pPr>
            <w:r>
              <w:rPr>
                <w:b/>
                <w:bCs/>
                <w:color w:val="C0A020"/>
                <w:sz w:val="24"/>
                <w:szCs w:val="24"/>
              </w:rPr>
              <w:t>1,582 Days</w:t>
            </w:r>
          </w:p>
        </w:tc>
      </w:tr>
      <w:tr w:rsidR="00620ECC" w14:paraId="63706560" w14:textId="77777777">
        <w:tc>
          <w:tcPr>
            <w:tcW w:w="6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vAlign w:val="center"/>
          </w:tcPr>
          <w:p w14:paraId="6370655D" w14:textId="77777777" w:rsidR="00620ECC" w:rsidRDefault="00750602">
            <w:pPr>
              <w:jc w:val="center"/>
            </w:pPr>
            <w:r>
              <w:rPr>
                <w:sz w:val="26"/>
                <w:szCs w:val="26"/>
              </w:rPr>
              <w:t>💰</w:t>
            </w:r>
          </w:p>
        </w:tc>
        <w:tc>
          <w:tcPr>
            <w:tcW w:w="45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5E" w14:textId="77777777" w:rsidR="00620ECC" w:rsidRDefault="00750602">
            <w:r>
              <w:rPr>
                <w:b/>
                <w:bCs/>
                <w:color w:val="333333"/>
              </w:rPr>
              <w:t>Gold Price (Start 2020)</w:t>
            </w:r>
          </w:p>
        </w:tc>
        <w:tc>
          <w:tcPr>
            <w:tcW w:w="4260" w:type="dxa"/>
            <w:tcBorders>
              <w:top w:val="single" w:sz="1" w:space="0" w:color="C0A020"/>
              <w:left w:val="single" w:sz="1" w:space="0" w:color="C0A020"/>
              <w:bottom w:val="single" w:sz="1" w:space="0" w:color="C0A020"/>
              <w:right w:val="single" w:sz="1" w:space="0" w:color="C0A020"/>
            </w:tcBorders>
            <w:shd w:val="clear" w:color="auto" w:fill="1F3864"/>
            <w:tcMar>
              <w:top w:w="80" w:type="dxa"/>
              <w:left w:w="120" w:type="dxa"/>
              <w:bottom w:w="80" w:type="dxa"/>
              <w:right w:w="120" w:type="dxa"/>
            </w:tcMar>
          </w:tcPr>
          <w:p w14:paraId="6370655F" w14:textId="77777777" w:rsidR="00620ECC" w:rsidRDefault="00750602">
            <w:pPr>
              <w:jc w:val="center"/>
            </w:pPr>
            <w:r>
              <w:rPr>
                <w:b/>
                <w:bCs/>
                <w:color w:val="C0A020"/>
                <w:sz w:val="24"/>
                <w:szCs w:val="24"/>
              </w:rPr>
              <w:t>$1,524.50</w:t>
            </w:r>
          </w:p>
        </w:tc>
      </w:tr>
      <w:tr w:rsidR="00620ECC" w14:paraId="63706564" w14:textId="77777777">
        <w:tc>
          <w:tcPr>
            <w:tcW w:w="6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vAlign w:val="center"/>
          </w:tcPr>
          <w:p w14:paraId="63706561" w14:textId="77777777" w:rsidR="00620ECC" w:rsidRDefault="00750602">
            <w:pPr>
              <w:jc w:val="center"/>
            </w:pPr>
            <w:r>
              <w:rPr>
                <w:sz w:val="26"/>
                <w:szCs w:val="26"/>
              </w:rPr>
              <w:t>🚀</w:t>
            </w:r>
          </w:p>
        </w:tc>
        <w:tc>
          <w:tcPr>
            <w:tcW w:w="45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62" w14:textId="77777777" w:rsidR="00620ECC" w:rsidRDefault="00750602">
            <w:r>
              <w:rPr>
                <w:b/>
                <w:bCs/>
                <w:color w:val="333333"/>
              </w:rPr>
              <w:t>Gold Price (Apr 2026)</w:t>
            </w:r>
          </w:p>
        </w:tc>
        <w:tc>
          <w:tcPr>
            <w:tcW w:w="4260" w:type="dxa"/>
            <w:tcBorders>
              <w:top w:val="single" w:sz="1" w:space="0" w:color="C0A020"/>
              <w:left w:val="single" w:sz="1" w:space="0" w:color="C0A020"/>
              <w:bottom w:val="single" w:sz="1" w:space="0" w:color="C0A020"/>
              <w:right w:val="single" w:sz="1" w:space="0" w:color="C0A020"/>
            </w:tcBorders>
            <w:shd w:val="clear" w:color="auto" w:fill="1F3864"/>
            <w:tcMar>
              <w:top w:w="80" w:type="dxa"/>
              <w:left w:w="120" w:type="dxa"/>
              <w:bottom w:w="80" w:type="dxa"/>
              <w:right w:w="120" w:type="dxa"/>
            </w:tcMar>
          </w:tcPr>
          <w:p w14:paraId="63706563" w14:textId="77777777" w:rsidR="00620ECC" w:rsidRDefault="00750602">
            <w:pPr>
              <w:jc w:val="center"/>
            </w:pPr>
            <w:r>
              <w:rPr>
                <w:b/>
                <w:bCs/>
                <w:color w:val="C0A020"/>
                <w:sz w:val="24"/>
                <w:szCs w:val="24"/>
              </w:rPr>
              <w:t>$4,857.60</w:t>
            </w:r>
          </w:p>
        </w:tc>
      </w:tr>
      <w:tr w:rsidR="00620ECC" w14:paraId="63706568" w14:textId="77777777">
        <w:tc>
          <w:tcPr>
            <w:tcW w:w="6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vAlign w:val="center"/>
          </w:tcPr>
          <w:p w14:paraId="63706565" w14:textId="77777777" w:rsidR="00620ECC" w:rsidRDefault="00750602">
            <w:pPr>
              <w:jc w:val="center"/>
            </w:pPr>
            <w:r>
              <w:rPr>
                <w:sz w:val="26"/>
                <w:szCs w:val="26"/>
              </w:rPr>
              <w:t>📈</w:t>
            </w:r>
          </w:p>
        </w:tc>
        <w:tc>
          <w:tcPr>
            <w:tcW w:w="45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66" w14:textId="77777777" w:rsidR="00620ECC" w:rsidRDefault="00750602">
            <w:r>
              <w:rPr>
                <w:b/>
                <w:bCs/>
                <w:color w:val="333333"/>
              </w:rPr>
              <w:t>Gold Return (2020–2026)</w:t>
            </w:r>
          </w:p>
        </w:tc>
        <w:tc>
          <w:tcPr>
            <w:tcW w:w="4260" w:type="dxa"/>
            <w:tcBorders>
              <w:top w:val="single" w:sz="1" w:space="0" w:color="C0A020"/>
              <w:left w:val="single" w:sz="1" w:space="0" w:color="C0A020"/>
              <w:bottom w:val="single" w:sz="1" w:space="0" w:color="C0A020"/>
              <w:right w:val="single" w:sz="1" w:space="0" w:color="C0A020"/>
            </w:tcBorders>
            <w:shd w:val="clear" w:color="auto" w:fill="1F3864"/>
            <w:tcMar>
              <w:top w:w="80" w:type="dxa"/>
              <w:left w:w="120" w:type="dxa"/>
              <w:bottom w:w="80" w:type="dxa"/>
              <w:right w:w="120" w:type="dxa"/>
            </w:tcMar>
          </w:tcPr>
          <w:p w14:paraId="63706567" w14:textId="77777777" w:rsidR="00620ECC" w:rsidRDefault="00750602">
            <w:pPr>
              <w:jc w:val="center"/>
            </w:pPr>
            <w:r>
              <w:rPr>
                <w:b/>
                <w:bCs/>
                <w:color w:val="C0A020"/>
                <w:sz w:val="24"/>
                <w:szCs w:val="24"/>
              </w:rPr>
              <w:t>+218.6%</w:t>
            </w:r>
          </w:p>
        </w:tc>
      </w:tr>
      <w:tr w:rsidR="00620ECC" w14:paraId="6370656C" w14:textId="77777777">
        <w:tc>
          <w:tcPr>
            <w:tcW w:w="6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vAlign w:val="center"/>
          </w:tcPr>
          <w:p w14:paraId="63706569" w14:textId="77777777" w:rsidR="00620ECC" w:rsidRDefault="00750602">
            <w:pPr>
              <w:jc w:val="center"/>
            </w:pPr>
            <w:r>
              <w:rPr>
                <w:sz w:val="26"/>
                <w:szCs w:val="26"/>
              </w:rPr>
              <w:t>🏆</w:t>
            </w:r>
          </w:p>
        </w:tc>
        <w:tc>
          <w:tcPr>
            <w:tcW w:w="45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6A" w14:textId="77777777" w:rsidR="00620ECC" w:rsidRDefault="00750602">
            <w:r>
              <w:rPr>
                <w:b/>
                <w:bCs/>
                <w:color w:val="333333"/>
              </w:rPr>
              <w:t>All-Time High (ATH)</w:t>
            </w:r>
          </w:p>
        </w:tc>
        <w:tc>
          <w:tcPr>
            <w:tcW w:w="4260" w:type="dxa"/>
            <w:tcBorders>
              <w:top w:val="single" w:sz="1" w:space="0" w:color="C0A020"/>
              <w:left w:val="single" w:sz="1" w:space="0" w:color="C0A020"/>
              <w:bottom w:val="single" w:sz="1" w:space="0" w:color="C0A020"/>
              <w:right w:val="single" w:sz="1" w:space="0" w:color="C0A020"/>
            </w:tcBorders>
            <w:shd w:val="clear" w:color="auto" w:fill="1F3864"/>
            <w:tcMar>
              <w:top w:w="80" w:type="dxa"/>
              <w:left w:w="120" w:type="dxa"/>
              <w:bottom w:w="80" w:type="dxa"/>
              <w:right w:w="120" w:type="dxa"/>
            </w:tcMar>
          </w:tcPr>
          <w:p w14:paraId="6370656B" w14:textId="77777777" w:rsidR="00620ECC" w:rsidRDefault="00750602">
            <w:pPr>
              <w:jc w:val="center"/>
            </w:pPr>
            <w:r>
              <w:rPr>
                <w:b/>
                <w:bCs/>
                <w:color w:val="C0A020"/>
                <w:sz w:val="24"/>
                <w:szCs w:val="24"/>
              </w:rPr>
              <w:t>$5,318.40 — Jan 29, 2026</w:t>
            </w:r>
          </w:p>
        </w:tc>
      </w:tr>
      <w:tr w:rsidR="00620ECC" w14:paraId="63706570" w14:textId="77777777">
        <w:tc>
          <w:tcPr>
            <w:tcW w:w="6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vAlign w:val="center"/>
          </w:tcPr>
          <w:p w14:paraId="6370656D" w14:textId="77777777" w:rsidR="00620ECC" w:rsidRDefault="00750602">
            <w:pPr>
              <w:jc w:val="center"/>
            </w:pPr>
            <w:r>
              <w:rPr>
                <w:sz w:val="26"/>
                <w:szCs w:val="26"/>
              </w:rPr>
              <w:t>📉</w:t>
            </w:r>
          </w:p>
        </w:tc>
        <w:tc>
          <w:tcPr>
            <w:tcW w:w="45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6E" w14:textId="77777777" w:rsidR="00620ECC" w:rsidRDefault="00750602">
            <w:r>
              <w:rPr>
                <w:b/>
                <w:bCs/>
                <w:color w:val="333333"/>
              </w:rPr>
              <w:t>All-Time Low (ATL)</w:t>
            </w:r>
          </w:p>
        </w:tc>
        <w:tc>
          <w:tcPr>
            <w:tcW w:w="4260" w:type="dxa"/>
            <w:tcBorders>
              <w:top w:val="single" w:sz="1" w:space="0" w:color="C0A020"/>
              <w:left w:val="single" w:sz="1" w:space="0" w:color="C0A020"/>
              <w:bottom w:val="single" w:sz="1" w:space="0" w:color="C0A020"/>
              <w:right w:val="single" w:sz="1" w:space="0" w:color="C0A020"/>
            </w:tcBorders>
            <w:shd w:val="clear" w:color="auto" w:fill="1F3864"/>
            <w:tcMar>
              <w:top w:w="80" w:type="dxa"/>
              <w:left w:w="120" w:type="dxa"/>
              <w:bottom w:w="80" w:type="dxa"/>
              <w:right w:w="120" w:type="dxa"/>
            </w:tcMar>
          </w:tcPr>
          <w:p w14:paraId="6370656F" w14:textId="77777777" w:rsidR="00620ECC" w:rsidRDefault="00750602">
            <w:pPr>
              <w:jc w:val="center"/>
            </w:pPr>
            <w:r>
              <w:rPr>
                <w:b/>
                <w:bCs/>
                <w:color w:val="C0A020"/>
                <w:sz w:val="24"/>
                <w:szCs w:val="24"/>
              </w:rPr>
              <w:t>$1,477.30 — Mar 18, 2020</w:t>
            </w:r>
          </w:p>
        </w:tc>
      </w:tr>
      <w:tr w:rsidR="00620ECC" w14:paraId="63706574" w14:textId="77777777">
        <w:tc>
          <w:tcPr>
            <w:tcW w:w="6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vAlign w:val="center"/>
          </w:tcPr>
          <w:p w14:paraId="63706571" w14:textId="77777777" w:rsidR="00620ECC" w:rsidRDefault="00750602">
            <w:pPr>
              <w:jc w:val="center"/>
            </w:pPr>
            <w:r>
              <w:rPr>
                <w:sz w:val="26"/>
                <w:szCs w:val="26"/>
              </w:rPr>
              <w:t>📊</w:t>
            </w:r>
          </w:p>
        </w:tc>
        <w:tc>
          <w:tcPr>
            <w:tcW w:w="45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72" w14:textId="77777777" w:rsidR="00620ECC" w:rsidRDefault="00750602">
            <w:r>
              <w:rPr>
                <w:b/>
                <w:bCs/>
                <w:color w:val="333333"/>
              </w:rPr>
              <w:t>Average Gold Price</w:t>
            </w:r>
          </w:p>
        </w:tc>
        <w:tc>
          <w:tcPr>
            <w:tcW w:w="4260" w:type="dxa"/>
            <w:tcBorders>
              <w:top w:val="single" w:sz="1" w:space="0" w:color="C0A020"/>
              <w:left w:val="single" w:sz="1" w:space="0" w:color="C0A020"/>
              <w:bottom w:val="single" w:sz="1" w:space="0" w:color="C0A020"/>
              <w:right w:val="single" w:sz="1" w:space="0" w:color="C0A020"/>
            </w:tcBorders>
            <w:shd w:val="clear" w:color="auto" w:fill="1F3864"/>
            <w:tcMar>
              <w:top w:w="80" w:type="dxa"/>
              <w:left w:w="120" w:type="dxa"/>
              <w:bottom w:w="80" w:type="dxa"/>
              <w:right w:w="120" w:type="dxa"/>
            </w:tcMar>
          </w:tcPr>
          <w:p w14:paraId="63706573" w14:textId="77777777" w:rsidR="00620ECC" w:rsidRDefault="00750602">
            <w:pPr>
              <w:jc w:val="center"/>
            </w:pPr>
            <w:r>
              <w:rPr>
                <w:b/>
                <w:bCs/>
                <w:color w:val="C0A020"/>
                <w:sz w:val="24"/>
                <w:szCs w:val="24"/>
              </w:rPr>
              <w:t>$2,313.82</w:t>
            </w:r>
          </w:p>
        </w:tc>
      </w:tr>
      <w:tr w:rsidR="00620ECC" w14:paraId="63706578" w14:textId="77777777">
        <w:tc>
          <w:tcPr>
            <w:tcW w:w="6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vAlign w:val="center"/>
          </w:tcPr>
          <w:p w14:paraId="63706575" w14:textId="77777777" w:rsidR="00620ECC" w:rsidRDefault="00750602">
            <w:pPr>
              <w:jc w:val="center"/>
            </w:pPr>
            <w:r>
              <w:rPr>
                <w:sz w:val="26"/>
                <w:szCs w:val="26"/>
              </w:rPr>
              <w:t>💵</w:t>
            </w:r>
          </w:p>
        </w:tc>
        <w:tc>
          <w:tcPr>
            <w:tcW w:w="45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76" w14:textId="77777777" w:rsidR="00620ECC" w:rsidRDefault="00750602">
            <w:r>
              <w:rPr>
                <w:b/>
                <w:bCs/>
                <w:color w:val="333333"/>
              </w:rPr>
              <w:t>Average USD Index</w:t>
            </w:r>
          </w:p>
        </w:tc>
        <w:tc>
          <w:tcPr>
            <w:tcW w:w="4260" w:type="dxa"/>
            <w:tcBorders>
              <w:top w:val="single" w:sz="1" w:space="0" w:color="C0A020"/>
              <w:left w:val="single" w:sz="1" w:space="0" w:color="C0A020"/>
              <w:bottom w:val="single" w:sz="1" w:space="0" w:color="C0A020"/>
              <w:right w:val="single" w:sz="1" w:space="0" w:color="C0A020"/>
            </w:tcBorders>
            <w:shd w:val="clear" w:color="auto" w:fill="1F3864"/>
            <w:tcMar>
              <w:top w:w="80" w:type="dxa"/>
              <w:left w:w="120" w:type="dxa"/>
              <w:bottom w:w="80" w:type="dxa"/>
              <w:right w:w="120" w:type="dxa"/>
            </w:tcMar>
          </w:tcPr>
          <w:p w14:paraId="63706577" w14:textId="77777777" w:rsidR="00620ECC" w:rsidRDefault="00750602">
            <w:pPr>
              <w:jc w:val="center"/>
            </w:pPr>
            <w:r>
              <w:rPr>
                <w:b/>
                <w:bCs/>
                <w:color w:val="C0A020"/>
                <w:sz w:val="24"/>
                <w:szCs w:val="24"/>
              </w:rPr>
              <w:t>80.56</w:t>
            </w:r>
          </w:p>
        </w:tc>
      </w:tr>
      <w:tr w:rsidR="00620ECC" w14:paraId="6370657C" w14:textId="77777777">
        <w:tc>
          <w:tcPr>
            <w:tcW w:w="6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vAlign w:val="center"/>
          </w:tcPr>
          <w:p w14:paraId="63706579" w14:textId="77777777" w:rsidR="00620ECC" w:rsidRDefault="00750602">
            <w:pPr>
              <w:jc w:val="center"/>
            </w:pPr>
            <w:r>
              <w:rPr>
                <w:sz w:val="26"/>
                <w:szCs w:val="26"/>
              </w:rPr>
              <w:t>🟢</w:t>
            </w:r>
          </w:p>
        </w:tc>
        <w:tc>
          <w:tcPr>
            <w:tcW w:w="45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7A" w14:textId="77777777" w:rsidR="00620ECC" w:rsidRDefault="00750602">
            <w:r>
              <w:rPr>
                <w:b/>
                <w:bCs/>
                <w:color w:val="333333"/>
              </w:rPr>
              <w:t>Bullish Days</w:t>
            </w:r>
          </w:p>
        </w:tc>
        <w:tc>
          <w:tcPr>
            <w:tcW w:w="4260" w:type="dxa"/>
            <w:tcBorders>
              <w:top w:val="single" w:sz="1" w:space="0" w:color="C0A020"/>
              <w:left w:val="single" w:sz="1" w:space="0" w:color="C0A020"/>
              <w:bottom w:val="single" w:sz="1" w:space="0" w:color="C0A020"/>
              <w:right w:val="single" w:sz="1" w:space="0" w:color="C0A020"/>
            </w:tcBorders>
            <w:shd w:val="clear" w:color="auto" w:fill="1F3864"/>
            <w:tcMar>
              <w:top w:w="80" w:type="dxa"/>
              <w:left w:w="120" w:type="dxa"/>
              <w:bottom w:w="80" w:type="dxa"/>
              <w:right w:w="120" w:type="dxa"/>
            </w:tcMar>
          </w:tcPr>
          <w:p w14:paraId="6370657B" w14:textId="77777777" w:rsidR="00620ECC" w:rsidRDefault="00750602">
            <w:pPr>
              <w:jc w:val="center"/>
            </w:pPr>
            <w:r>
              <w:rPr>
                <w:b/>
                <w:bCs/>
                <w:color w:val="C0A020"/>
                <w:sz w:val="24"/>
                <w:szCs w:val="24"/>
              </w:rPr>
              <w:t>808 Days (51.1%)</w:t>
            </w:r>
          </w:p>
        </w:tc>
      </w:tr>
      <w:tr w:rsidR="00620ECC" w14:paraId="63706580" w14:textId="77777777">
        <w:tc>
          <w:tcPr>
            <w:tcW w:w="6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vAlign w:val="center"/>
          </w:tcPr>
          <w:p w14:paraId="6370657D" w14:textId="77777777" w:rsidR="00620ECC" w:rsidRDefault="00750602">
            <w:pPr>
              <w:jc w:val="center"/>
            </w:pPr>
            <w:r>
              <w:rPr>
                <w:sz w:val="26"/>
                <w:szCs w:val="26"/>
              </w:rPr>
              <w:t>🔴</w:t>
            </w:r>
          </w:p>
        </w:tc>
        <w:tc>
          <w:tcPr>
            <w:tcW w:w="45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7E" w14:textId="77777777" w:rsidR="00620ECC" w:rsidRDefault="00750602">
            <w:r>
              <w:rPr>
                <w:b/>
                <w:bCs/>
                <w:color w:val="333333"/>
              </w:rPr>
              <w:t>Bearish Days</w:t>
            </w:r>
          </w:p>
        </w:tc>
        <w:tc>
          <w:tcPr>
            <w:tcW w:w="4260" w:type="dxa"/>
            <w:tcBorders>
              <w:top w:val="single" w:sz="1" w:space="0" w:color="C0A020"/>
              <w:left w:val="single" w:sz="1" w:space="0" w:color="C0A020"/>
              <w:bottom w:val="single" w:sz="1" w:space="0" w:color="C0A020"/>
              <w:right w:val="single" w:sz="1" w:space="0" w:color="C0A020"/>
            </w:tcBorders>
            <w:shd w:val="clear" w:color="auto" w:fill="1F3864"/>
            <w:tcMar>
              <w:top w:w="80" w:type="dxa"/>
              <w:left w:w="120" w:type="dxa"/>
              <w:bottom w:w="80" w:type="dxa"/>
              <w:right w:w="120" w:type="dxa"/>
            </w:tcMar>
          </w:tcPr>
          <w:p w14:paraId="6370657F" w14:textId="77777777" w:rsidR="00620ECC" w:rsidRDefault="00750602">
            <w:pPr>
              <w:jc w:val="center"/>
            </w:pPr>
            <w:r>
              <w:rPr>
                <w:b/>
                <w:bCs/>
                <w:color w:val="C0A020"/>
                <w:sz w:val="24"/>
                <w:szCs w:val="24"/>
              </w:rPr>
              <w:t>693 Days (43.8%)</w:t>
            </w:r>
          </w:p>
        </w:tc>
      </w:tr>
      <w:tr w:rsidR="00620ECC" w14:paraId="63706584" w14:textId="77777777">
        <w:tc>
          <w:tcPr>
            <w:tcW w:w="6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vAlign w:val="center"/>
          </w:tcPr>
          <w:p w14:paraId="63706581" w14:textId="77777777" w:rsidR="00620ECC" w:rsidRDefault="00750602">
            <w:pPr>
              <w:jc w:val="center"/>
            </w:pPr>
            <w:r>
              <w:rPr>
                <w:sz w:val="26"/>
                <w:szCs w:val="26"/>
              </w:rPr>
              <w:t>⚡</w:t>
            </w:r>
          </w:p>
        </w:tc>
        <w:tc>
          <w:tcPr>
            <w:tcW w:w="45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82" w14:textId="77777777" w:rsidR="00620ECC" w:rsidRDefault="00750602">
            <w:r>
              <w:rPr>
                <w:b/>
                <w:bCs/>
                <w:color w:val="333333"/>
              </w:rPr>
              <w:t>High Volatility Days</w:t>
            </w:r>
          </w:p>
        </w:tc>
        <w:tc>
          <w:tcPr>
            <w:tcW w:w="4260" w:type="dxa"/>
            <w:tcBorders>
              <w:top w:val="single" w:sz="1" w:space="0" w:color="C0A020"/>
              <w:left w:val="single" w:sz="1" w:space="0" w:color="C0A020"/>
              <w:bottom w:val="single" w:sz="1" w:space="0" w:color="C0A020"/>
              <w:right w:val="single" w:sz="1" w:space="0" w:color="C0A020"/>
            </w:tcBorders>
            <w:shd w:val="clear" w:color="auto" w:fill="1F3864"/>
            <w:tcMar>
              <w:top w:w="80" w:type="dxa"/>
              <w:left w:w="120" w:type="dxa"/>
              <w:bottom w:w="80" w:type="dxa"/>
              <w:right w:w="120" w:type="dxa"/>
            </w:tcMar>
          </w:tcPr>
          <w:p w14:paraId="63706583" w14:textId="77777777" w:rsidR="00620ECC" w:rsidRDefault="00750602">
            <w:pPr>
              <w:jc w:val="center"/>
            </w:pPr>
            <w:r>
              <w:rPr>
                <w:b/>
                <w:bCs/>
                <w:color w:val="C0A020"/>
                <w:sz w:val="24"/>
                <w:szCs w:val="24"/>
              </w:rPr>
              <w:t>540 Days</w:t>
            </w:r>
          </w:p>
        </w:tc>
      </w:tr>
      <w:tr w:rsidR="00620ECC" w14:paraId="63706588" w14:textId="77777777">
        <w:tc>
          <w:tcPr>
            <w:tcW w:w="6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vAlign w:val="center"/>
          </w:tcPr>
          <w:p w14:paraId="63706585" w14:textId="77777777" w:rsidR="00620ECC" w:rsidRDefault="00750602">
            <w:pPr>
              <w:jc w:val="center"/>
            </w:pPr>
            <w:r>
              <w:rPr>
                <w:sz w:val="26"/>
                <w:szCs w:val="26"/>
              </w:rPr>
              <w:lastRenderedPageBreak/>
              <w:t>🏅</w:t>
            </w:r>
          </w:p>
        </w:tc>
        <w:tc>
          <w:tcPr>
            <w:tcW w:w="45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86" w14:textId="77777777" w:rsidR="00620ECC" w:rsidRDefault="00750602">
            <w:r>
              <w:rPr>
                <w:b/>
                <w:bCs/>
                <w:color w:val="333333"/>
              </w:rPr>
              <w:t>Longest Market Phase</w:t>
            </w:r>
          </w:p>
        </w:tc>
        <w:tc>
          <w:tcPr>
            <w:tcW w:w="4260" w:type="dxa"/>
            <w:tcBorders>
              <w:top w:val="single" w:sz="1" w:space="0" w:color="C0A020"/>
              <w:left w:val="single" w:sz="1" w:space="0" w:color="C0A020"/>
              <w:bottom w:val="single" w:sz="1" w:space="0" w:color="C0A020"/>
              <w:right w:val="single" w:sz="1" w:space="0" w:color="C0A020"/>
            </w:tcBorders>
            <w:shd w:val="clear" w:color="auto" w:fill="1F3864"/>
            <w:tcMar>
              <w:top w:w="80" w:type="dxa"/>
              <w:left w:w="120" w:type="dxa"/>
              <w:bottom w:w="80" w:type="dxa"/>
              <w:right w:w="120" w:type="dxa"/>
            </w:tcMar>
          </w:tcPr>
          <w:p w14:paraId="63706587" w14:textId="77777777" w:rsidR="00620ECC" w:rsidRDefault="00750602">
            <w:pPr>
              <w:jc w:val="center"/>
            </w:pPr>
            <w:r>
              <w:rPr>
                <w:b/>
                <w:bCs/>
                <w:color w:val="C0A020"/>
                <w:sz w:val="24"/>
                <w:szCs w:val="24"/>
              </w:rPr>
              <w:t>Surge — 723 Days</w:t>
            </w:r>
          </w:p>
        </w:tc>
      </w:tr>
      <w:tr w:rsidR="00620ECC" w14:paraId="6370658C" w14:textId="77777777">
        <w:tc>
          <w:tcPr>
            <w:tcW w:w="6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vAlign w:val="center"/>
          </w:tcPr>
          <w:p w14:paraId="63706589" w14:textId="77777777" w:rsidR="00620ECC" w:rsidRDefault="00750602">
            <w:pPr>
              <w:jc w:val="center"/>
            </w:pPr>
            <w:r>
              <w:rPr>
                <w:sz w:val="26"/>
                <w:szCs w:val="26"/>
              </w:rPr>
              <w:t>🦠</w:t>
            </w:r>
          </w:p>
        </w:tc>
        <w:tc>
          <w:tcPr>
            <w:tcW w:w="45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8A" w14:textId="77777777" w:rsidR="00620ECC" w:rsidRDefault="00750602">
            <w:r>
              <w:rPr>
                <w:b/>
                <w:bCs/>
                <w:color w:val="333333"/>
              </w:rPr>
              <w:t>COVID Phase Days</w:t>
            </w:r>
          </w:p>
        </w:tc>
        <w:tc>
          <w:tcPr>
            <w:tcW w:w="4260" w:type="dxa"/>
            <w:tcBorders>
              <w:top w:val="single" w:sz="1" w:space="0" w:color="C0A020"/>
              <w:left w:val="single" w:sz="1" w:space="0" w:color="C0A020"/>
              <w:bottom w:val="single" w:sz="1" w:space="0" w:color="C0A020"/>
              <w:right w:val="single" w:sz="1" w:space="0" w:color="C0A020"/>
            </w:tcBorders>
            <w:shd w:val="clear" w:color="auto" w:fill="1F3864"/>
            <w:tcMar>
              <w:top w:w="80" w:type="dxa"/>
              <w:left w:w="120" w:type="dxa"/>
              <w:bottom w:w="80" w:type="dxa"/>
              <w:right w:w="120" w:type="dxa"/>
            </w:tcMar>
          </w:tcPr>
          <w:p w14:paraId="6370658B" w14:textId="77777777" w:rsidR="00620ECC" w:rsidRDefault="00750602">
            <w:pPr>
              <w:jc w:val="center"/>
            </w:pPr>
            <w:r>
              <w:rPr>
                <w:b/>
                <w:bCs/>
                <w:color w:val="C0A020"/>
                <w:sz w:val="24"/>
                <w:szCs w:val="24"/>
              </w:rPr>
              <w:t>213 Days</w:t>
            </w:r>
          </w:p>
        </w:tc>
      </w:tr>
      <w:tr w:rsidR="00620ECC" w14:paraId="63706590" w14:textId="77777777">
        <w:tc>
          <w:tcPr>
            <w:tcW w:w="6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vAlign w:val="center"/>
          </w:tcPr>
          <w:p w14:paraId="6370658D" w14:textId="77777777" w:rsidR="00620ECC" w:rsidRDefault="00750602">
            <w:pPr>
              <w:jc w:val="center"/>
            </w:pPr>
            <w:r>
              <w:rPr>
                <w:sz w:val="26"/>
                <w:szCs w:val="26"/>
              </w:rPr>
              <w:t>🔗</w:t>
            </w:r>
          </w:p>
        </w:tc>
        <w:tc>
          <w:tcPr>
            <w:tcW w:w="45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8E" w14:textId="77777777" w:rsidR="00620ECC" w:rsidRDefault="00750602">
            <w:r>
              <w:rPr>
                <w:b/>
                <w:bCs/>
                <w:color w:val="333333"/>
              </w:rPr>
              <w:t>Gold-USD Correlation</w:t>
            </w:r>
          </w:p>
        </w:tc>
        <w:tc>
          <w:tcPr>
            <w:tcW w:w="4260" w:type="dxa"/>
            <w:tcBorders>
              <w:top w:val="single" w:sz="1" w:space="0" w:color="C0A020"/>
              <w:left w:val="single" w:sz="1" w:space="0" w:color="C0A020"/>
              <w:bottom w:val="single" w:sz="1" w:space="0" w:color="C0A020"/>
              <w:right w:val="single" w:sz="1" w:space="0" w:color="C0A020"/>
            </w:tcBorders>
            <w:shd w:val="clear" w:color="auto" w:fill="1F3864"/>
            <w:tcMar>
              <w:top w:w="80" w:type="dxa"/>
              <w:left w:w="120" w:type="dxa"/>
              <w:bottom w:w="80" w:type="dxa"/>
              <w:right w:w="120" w:type="dxa"/>
            </w:tcMar>
          </w:tcPr>
          <w:p w14:paraId="6370658F" w14:textId="77777777" w:rsidR="00620ECC" w:rsidRDefault="00750602">
            <w:pPr>
              <w:jc w:val="center"/>
            </w:pPr>
            <w:r>
              <w:rPr>
                <w:b/>
                <w:bCs/>
                <w:color w:val="C0A020"/>
                <w:sz w:val="24"/>
                <w:szCs w:val="24"/>
              </w:rPr>
              <w:t>0.80 (Strong Positive)</w:t>
            </w:r>
          </w:p>
        </w:tc>
      </w:tr>
      <w:tr w:rsidR="00620ECC" w14:paraId="63706594" w14:textId="77777777">
        <w:tc>
          <w:tcPr>
            <w:tcW w:w="6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vAlign w:val="center"/>
          </w:tcPr>
          <w:p w14:paraId="63706591" w14:textId="77777777" w:rsidR="00620ECC" w:rsidRDefault="00750602">
            <w:pPr>
              <w:jc w:val="center"/>
            </w:pPr>
            <w:r>
              <w:rPr>
                <w:sz w:val="26"/>
                <w:szCs w:val="26"/>
              </w:rPr>
              <w:t>📉</w:t>
            </w:r>
          </w:p>
        </w:tc>
        <w:tc>
          <w:tcPr>
            <w:tcW w:w="450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92" w14:textId="77777777" w:rsidR="00620ECC" w:rsidRDefault="00750602">
            <w:r>
              <w:rPr>
                <w:b/>
                <w:bCs/>
                <w:color w:val="333333"/>
              </w:rPr>
              <w:t>Strongest Inverse Day</w:t>
            </w:r>
          </w:p>
        </w:tc>
        <w:tc>
          <w:tcPr>
            <w:tcW w:w="4260" w:type="dxa"/>
            <w:tcBorders>
              <w:top w:val="single" w:sz="1" w:space="0" w:color="C0A020"/>
              <w:left w:val="single" w:sz="1" w:space="0" w:color="C0A020"/>
              <w:bottom w:val="single" w:sz="1" w:space="0" w:color="C0A020"/>
              <w:right w:val="single" w:sz="1" w:space="0" w:color="C0A020"/>
            </w:tcBorders>
            <w:shd w:val="clear" w:color="auto" w:fill="1F3864"/>
            <w:tcMar>
              <w:top w:w="80" w:type="dxa"/>
              <w:left w:w="120" w:type="dxa"/>
              <w:bottom w:w="80" w:type="dxa"/>
              <w:right w:w="120" w:type="dxa"/>
            </w:tcMar>
          </w:tcPr>
          <w:p w14:paraId="63706593" w14:textId="77777777" w:rsidR="00620ECC" w:rsidRDefault="00750602">
            <w:pPr>
              <w:jc w:val="center"/>
            </w:pPr>
            <w:r>
              <w:rPr>
                <w:b/>
                <w:bCs/>
                <w:color w:val="C0A020"/>
                <w:sz w:val="24"/>
                <w:szCs w:val="24"/>
              </w:rPr>
              <w:t>Mar 13, 2020 (COVID) Gold -4.63%</w:t>
            </w:r>
          </w:p>
        </w:tc>
      </w:tr>
    </w:tbl>
    <w:p w14:paraId="63706595" w14:textId="77777777" w:rsidR="00620ECC" w:rsidRDefault="00620ECC">
      <w:pPr>
        <w:spacing w:after="300"/>
      </w:pPr>
    </w:p>
    <w:p w14:paraId="63706596" w14:textId="77777777" w:rsidR="00620ECC" w:rsidRDefault="00750602">
      <w:pPr>
        <w:pBdr>
          <w:bottom w:val="single" w:sz="6" w:space="1" w:color="C0A020"/>
        </w:pBdr>
        <w:spacing w:before="400" w:after="200"/>
      </w:pPr>
      <w:r>
        <w:rPr>
          <w:b/>
          <w:bCs/>
          <w:color w:val="C0A020"/>
          <w:sz w:val="36"/>
          <w:szCs w:val="36"/>
        </w:rPr>
        <w:t>💡 Key Insights</w:t>
      </w:r>
    </w:p>
    <w:p w14:paraId="63706597" w14:textId="77777777" w:rsidR="00620ECC" w:rsidRDefault="00750602">
      <w:pPr>
        <w:spacing w:before="300" w:after="150"/>
      </w:pPr>
      <w:r>
        <w:rPr>
          <w:b/>
          <w:bCs/>
          <w:color w:val="1F3864"/>
          <w:sz w:val="28"/>
          <w:szCs w:val="28"/>
        </w:rPr>
        <w:t>1. 🚀 Exceptional Gold Returns</w:t>
      </w:r>
    </w:p>
    <w:p w14:paraId="63706598" w14:textId="77777777" w:rsidR="00620ECC" w:rsidRDefault="00750602">
      <w:pPr>
        <w:pStyle w:val="ListParagraph"/>
        <w:numPr>
          <w:ilvl w:val="0"/>
          <w:numId w:val="2"/>
        </w:numPr>
        <w:spacing w:before="60" w:after="60"/>
      </w:pPr>
      <w:r>
        <w:t>Gold surged +218.6% from $1,524 (Jan 2020) to $4,857 (Apr 2026) — nearly tripling in 6 years.</w:t>
      </w:r>
    </w:p>
    <w:p w14:paraId="63706599" w14:textId="77777777" w:rsidR="00620ECC" w:rsidRDefault="00750602">
      <w:pPr>
        <w:pStyle w:val="ListParagraph"/>
        <w:numPr>
          <w:ilvl w:val="0"/>
          <w:numId w:val="2"/>
        </w:numPr>
        <w:spacing w:before="60" w:after="60"/>
      </w:pPr>
      <w:r>
        <w:t>The all-time high of $5,318.40 was reached on January 29, 2026, during the Surge phase.</w:t>
      </w:r>
    </w:p>
    <w:p w14:paraId="6370659A" w14:textId="77777777" w:rsidR="00620ECC" w:rsidRDefault="00750602">
      <w:pPr>
        <w:pStyle w:val="ListParagraph"/>
        <w:numPr>
          <w:ilvl w:val="0"/>
          <w:numId w:val="2"/>
        </w:numPr>
        <w:spacing w:before="60" w:after="60"/>
      </w:pPr>
      <w:r>
        <w:t>Year-on-year, gold showed consistent growth except during COVID crash in March 2020.</w:t>
      </w:r>
    </w:p>
    <w:p w14:paraId="6370659B" w14:textId="77777777" w:rsidR="00620ECC" w:rsidRDefault="00750602">
      <w:pPr>
        <w:spacing w:before="300" w:after="150"/>
      </w:pPr>
      <w:r>
        <w:rPr>
          <w:b/>
          <w:bCs/>
          <w:color w:val="1F3864"/>
          <w:sz w:val="28"/>
          <w:szCs w:val="28"/>
        </w:rPr>
        <w:t>2. 🏆 Surge Phase Dominates the Market</w:t>
      </w:r>
    </w:p>
    <w:p w14:paraId="6370659C" w14:textId="77777777" w:rsidR="00620ECC" w:rsidRDefault="00750602">
      <w:pPr>
        <w:pStyle w:val="ListParagraph"/>
        <w:numPr>
          <w:ilvl w:val="0"/>
          <w:numId w:val="2"/>
        </w:numPr>
        <w:spacing w:before="60" w:after="60"/>
      </w:pPr>
      <w:r>
        <w:t>The Surge phase had the highest number of trading days — 723 days (within full dataset).</w:t>
      </w:r>
    </w:p>
    <w:p w14:paraId="6370659D" w14:textId="77777777" w:rsidR="00620ECC" w:rsidRDefault="00750602">
      <w:pPr>
        <w:pStyle w:val="ListParagraph"/>
        <w:numPr>
          <w:ilvl w:val="0"/>
          <w:numId w:val="2"/>
        </w:numPr>
        <w:spacing w:before="60" w:after="60"/>
      </w:pPr>
      <w:r>
        <w:t>Within 2020–2025 filter, Surge recorded 650 days — still the longest phase.</w:t>
      </w:r>
    </w:p>
    <w:p w14:paraId="6370659E" w14:textId="77777777" w:rsidR="00620ECC" w:rsidRDefault="00750602">
      <w:pPr>
        <w:pStyle w:val="ListParagraph"/>
        <w:numPr>
          <w:ilvl w:val="0"/>
          <w:numId w:val="2"/>
        </w:numPr>
        <w:spacing w:before="60" w:after="60"/>
      </w:pPr>
      <w:r>
        <w:t>Surge phase started from mid-2023 and continued through 2026, driven by geopolitical uncertainty and inflation fears.</w:t>
      </w:r>
    </w:p>
    <w:p w14:paraId="6370659F" w14:textId="77777777" w:rsidR="00620ECC" w:rsidRDefault="00750602">
      <w:pPr>
        <w:spacing w:before="300" w:after="150"/>
      </w:pPr>
      <w:r>
        <w:rPr>
          <w:b/>
          <w:bCs/>
          <w:color w:val="1F3864"/>
          <w:sz w:val="28"/>
          <w:szCs w:val="28"/>
        </w:rPr>
        <w:t>3. 🦠 COVID Crash — The Lowest Point</w:t>
      </w:r>
    </w:p>
    <w:p w14:paraId="637065A0" w14:textId="77777777" w:rsidR="00620ECC" w:rsidRDefault="00750602">
      <w:pPr>
        <w:pStyle w:val="ListParagraph"/>
        <w:numPr>
          <w:ilvl w:val="0"/>
          <w:numId w:val="2"/>
        </w:numPr>
        <w:spacing w:before="60" w:after="60"/>
      </w:pPr>
      <w:r>
        <w:t>Gold hit its all-time low of $1,477.30 on March 18, 2020 during COVID market panic.</w:t>
      </w:r>
    </w:p>
    <w:p w14:paraId="637065A1" w14:textId="77777777" w:rsidR="00620ECC" w:rsidRDefault="00750602">
      <w:pPr>
        <w:pStyle w:val="ListParagraph"/>
        <w:numPr>
          <w:ilvl w:val="0"/>
          <w:numId w:val="2"/>
        </w:numPr>
        <w:spacing w:before="60" w:after="60"/>
      </w:pPr>
      <w:r>
        <w:t>Interestingly, COVID was the strongest inverse relationship period — as USD rose, gold fell sharply.</w:t>
      </w:r>
    </w:p>
    <w:p w14:paraId="637065A2" w14:textId="77777777" w:rsidR="00620ECC" w:rsidRDefault="00750602">
      <w:pPr>
        <w:pStyle w:val="ListParagraph"/>
        <w:numPr>
          <w:ilvl w:val="0"/>
          <w:numId w:val="2"/>
        </w:numPr>
        <w:spacing w:before="60" w:after="60"/>
      </w:pPr>
      <w:r>
        <w:t>The strongest single-day inverse: March 13, 2020 — USD +0.72%, Gold -4.63% same day.</w:t>
      </w:r>
    </w:p>
    <w:p w14:paraId="637065A3" w14:textId="77777777" w:rsidR="00620ECC" w:rsidRDefault="00750602">
      <w:pPr>
        <w:spacing w:before="300" w:after="150"/>
      </w:pPr>
      <w:r>
        <w:rPr>
          <w:b/>
          <w:bCs/>
          <w:color w:val="1F3864"/>
          <w:sz w:val="28"/>
          <w:szCs w:val="28"/>
        </w:rPr>
        <w:t>4. ⚡ Volatility Patterns</w:t>
      </w:r>
    </w:p>
    <w:p w14:paraId="637065A4" w14:textId="77777777" w:rsidR="00620ECC" w:rsidRDefault="00750602">
      <w:pPr>
        <w:pStyle w:val="ListParagraph"/>
        <w:numPr>
          <w:ilvl w:val="0"/>
          <w:numId w:val="2"/>
        </w:numPr>
        <w:spacing w:before="60" w:after="60"/>
      </w:pPr>
      <w:r>
        <w:t>High Volatility Days: 540 days — mostly concentrated in COVID (2020) and Surge (2024–2026) phases.</w:t>
      </w:r>
    </w:p>
    <w:p w14:paraId="637065A5" w14:textId="77777777" w:rsidR="00620ECC" w:rsidRDefault="00750602">
      <w:pPr>
        <w:pStyle w:val="ListParagraph"/>
        <w:numPr>
          <w:ilvl w:val="0"/>
          <w:numId w:val="2"/>
        </w:numPr>
        <w:spacing w:before="60" w:after="60"/>
      </w:pPr>
      <w:r>
        <w:t>Low Volatility Days: 521 days — mostly during stable Inflation and Recovery phases.</w:t>
      </w:r>
    </w:p>
    <w:p w14:paraId="637065A6" w14:textId="77777777" w:rsidR="00620ECC" w:rsidRDefault="00750602">
      <w:pPr>
        <w:pStyle w:val="ListParagraph"/>
        <w:numPr>
          <w:ilvl w:val="0"/>
          <w:numId w:val="2"/>
        </w:numPr>
        <w:spacing w:before="60" w:after="60"/>
      </w:pPr>
      <w:r>
        <w:t>High volatility periods coincide with major macro events: COVID, Fed rate hikes, and geopolitical crises.</w:t>
      </w:r>
    </w:p>
    <w:p w14:paraId="637065A7" w14:textId="77777777" w:rsidR="00620ECC" w:rsidRDefault="00750602">
      <w:pPr>
        <w:spacing w:before="300" w:after="150"/>
      </w:pPr>
      <w:r>
        <w:rPr>
          <w:b/>
          <w:bCs/>
          <w:color w:val="1F3864"/>
          <w:sz w:val="28"/>
          <w:szCs w:val="28"/>
        </w:rPr>
        <w:t>5. 🔗 Gold–USD Inverse Relationship</w:t>
      </w:r>
    </w:p>
    <w:p w14:paraId="637065A8" w14:textId="77777777" w:rsidR="00620ECC" w:rsidRDefault="00750602">
      <w:pPr>
        <w:pStyle w:val="ListParagraph"/>
        <w:numPr>
          <w:ilvl w:val="0"/>
          <w:numId w:val="2"/>
        </w:numPr>
        <w:spacing w:before="60" w:after="60"/>
      </w:pPr>
      <w:r>
        <w:t>Despite common belief, Gold and USD had a positive correlation of 0.80 in this dataset overall.</w:t>
      </w:r>
    </w:p>
    <w:p w14:paraId="637065A9" w14:textId="77777777" w:rsidR="00620ECC" w:rsidRDefault="00750602">
      <w:pPr>
        <w:pStyle w:val="ListParagraph"/>
        <w:numPr>
          <w:ilvl w:val="0"/>
          <w:numId w:val="2"/>
        </w:numPr>
        <w:spacing w:before="60" w:after="60"/>
      </w:pPr>
      <w:r>
        <w:t xml:space="preserve">However, on a daily return basis, 369 days (23.3%) showed true inverse </w:t>
      </w:r>
      <w:proofErr w:type="spellStart"/>
      <w:r>
        <w:t>behavior</w:t>
      </w:r>
      <w:proofErr w:type="spellEnd"/>
      <w:r>
        <w:t xml:space="preserve"> — USD up, </w:t>
      </w:r>
      <w:proofErr w:type="gramStart"/>
      <w:r>
        <w:t>Gold</w:t>
      </w:r>
      <w:proofErr w:type="gramEnd"/>
      <w:r>
        <w:t xml:space="preserve"> down.</w:t>
      </w:r>
    </w:p>
    <w:p w14:paraId="637065AA" w14:textId="77777777" w:rsidR="00620ECC" w:rsidRDefault="00750602">
      <w:pPr>
        <w:pStyle w:val="ListParagraph"/>
        <w:numPr>
          <w:ilvl w:val="0"/>
          <w:numId w:val="2"/>
        </w:numPr>
        <w:spacing w:before="60" w:after="60"/>
      </w:pPr>
      <w:r>
        <w:lastRenderedPageBreak/>
        <w:t>During Safe-Haven demand periods (geopolitical crises), both Gold and USD rise simultaneously — breaking the inverse rule.</w:t>
      </w:r>
    </w:p>
    <w:p w14:paraId="637065AB" w14:textId="77777777" w:rsidR="00620ECC" w:rsidRDefault="00750602">
      <w:pPr>
        <w:spacing w:before="300" w:after="150"/>
      </w:pPr>
      <w:r>
        <w:rPr>
          <w:b/>
          <w:bCs/>
          <w:color w:val="1F3864"/>
          <w:sz w:val="28"/>
          <w:szCs w:val="28"/>
        </w:rPr>
        <w:t>6. 📊 Market Phase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20ECC" w14:paraId="637065B0" w14:textId="77777777">
        <w:trPr>
          <w:tblHeader/>
        </w:trPr>
        <w:tc>
          <w:tcPr>
            <w:tcW w:w="2340" w:type="dxa"/>
            <w:tcBorders>
              <w:top w:val="single" w:sz="1" w:space="0" w:color="C0A020"/>
              <w:left w:val="single" w:sz="1" w:space="0" w:color="C0A020"/>
              <w:bottom w:val="single" w:sz="1" w:space="0" w:color="C0A020"/>
              <w:right w:val="single" w:sz="1" w:space="0" w:color="C0A020"/>
            </w:tcBorders>
            <w:shd w:val="clear" w:color="auto" w:fill="1F3864"/>
            <w:tcMar>
              <w:top w:w="80" w:type="dxa"/>
              <w:left w:w="120" w:type="dxa"/>
              <w:bottom w:w="80" w:type="dxa"/>
              <w:right w:w="120" w:type="dxa"/>
            </w:tcMar>
          </w:tcPr>
          <w:p w14:paraId="637065AC" w14:textId="77777777" w:rsidR="00620ECC" w:rsidRDefault="00750602">
            <w:pPr>
              <w:jc w:val="center"/>
            </w:pPr>
            <w:r>
              <w:rPr>
                <w:b/>
                <w:bCs/>
                <w:color w:val="FFFFFF"/>
                <w:sz w:val="20"/>
                <w:szCs w:val="20"/>
              </w:rPr>
              <w:t>Market Phase</w:t>
            </w:r>
          </w:p>
        </w:tc>
        <w:tc>
          <w:tcPr>
            <w:tcW w:w="2340" w:type="dxa"/>
            <w:tcBorders>
              <w:top w:val="single" w:sz="1" w:space="0" w:color="C0A020"/>
              <w:left w:val="single" w:sz="1" w:space="0" w:color="C0A020"/>
              <w:bottom w:val="single" w:sz="1" w:space="0" w:color="C0A020"/>
              <w:right w:val="single" w:sz="1" w:space="0" w:color="C0A020"/>
            </w:tcBorders>
            <w:shd w:val="clear" w:color="auto" w:fill="1F3864"/>
            <w:tcMar>
              <w:top w:w="80" w:type="dxa"/>
              <w:left w:w="120" w:type="dxa"/>
              <w:bottom w:w="80" w:type="dxa"/>
              <w:right w:w="120" w:type="dxa"/>
            </w:tcMar>
          </w:tcPr>
          <w:p w14:paraId="637065AD" w14:textId="77777777" w:rsidR="00620ECC" w:rsidRDefault="00750602">
            <w:pPr>
              <w:jc w:val="center"/>
            </w:pPr>
            <w:r>
              <w:rPr>
                <w:b/>
                <w:bCs/>
                <w:color w:val="FFFFFF"/>
                <w:sz w:val="20"/>
                <w:szCs w:val="20"/>
              </w:rPr>
              <w:t>Days Count</w:t>
            </w:r>
          </w:p>
        </w:tc>
        <w:tc>
          <w:tcPr>
            <w:tcW w:w="2340" w:type="dxa"/>
            <w:tcBorders>
              <w:top w:val="single" w:sz="1" w:space="0" w:color="C0A020"/>
              <w:left w:val="single" w:sz="1" w:space="0" w:color="C0A020"/>
              <w:bottom w:val="single" w:sz="1" w:space="0" w:color="C0A020"/>
              <w:right w:val="single" w:sz="1" w:space="0" w:color="C0A020"/>
            </w:tcBorders>
            <w:shd w:val="clear" w:color="auto" w:fill="1F3864"/>
            <w:tcMar>
              <w:top w:w="80" w:type="dxa"/>
              <w:left w:w="120" w:type="dxa"/>
              <w:bottom w:w="80" w:type="dxa"/>
              <w:right w:w="120" w:type="dxa"/>
            </w:tcMar>
          </w:tcPr>
          <w:p w14:paraId="637065AE" w14:textId="77777777" w:rsidR="00620ECC" w:rsidRDefault="00750602">
            <w:pPr>
              <w:jc w:val="center"/>
            </w:pPr>
            <w:r>
              <w:rPr>
                <w:b/>
                <w:bCs/>
                <w:color w:val="FFFFFF"/>
                <w:sz w:val="20"/>
                <w:szCs w:val="20"/>
              </w:rPr>
              <w:t>% of Total</w:t>
            </w:r>
          </w:p>
        </w:tc>
        <w:tc>
          <w:tcPr>
            <w:tcW w:w="2340" w:type="dxa"/>
            <w:tcBorders>
              <w:top w:val="single" w:sz="1" w:space="0" w:color="C0A020"/>
              <w:left w:val="single" w:sz="1" w:space="0" w:color="C0A020"/>
              <w:bottom w:val="single" w:sz="1" w:space="0" w:color="C0A020"/>
              <w:right w:val="single" w:sz="1" w:space="0" w:color="C0A020"/>
            </w:tcBorders>
            <w:shd w:val="clear" w:color="auto" w:fill="1F3864"/>
            <w:tcMar>
              <w:top w:w="80" w:type="dxa"/>
              <w:left w:w="120" w:type="dxa"/>
              <w:bottom w:w="80" w:type="dxa"/>
              <w:right w:w="120" w:type="dxa"/>
            </w:tcMar>
          </w:tcPr>
          <w:p w14:paraId="637065AF" w14:textId="77777777" w:rsidR="00620ECC" w:rsidRDefault="00750602">
            <w:pPr>
              <w:jc w:val="center"/>
            </w:pPr>
            <w:r>
              <w:rPr>
                <w:b/>
                <w:bCs/>
                <w:color w:val="FFFFFF"/>
                <w:sz w:val="20"/>
                <w:szCs w:val="20"/>
              </w:rPr>
              <w:t>Period</w:t>
            </w:r>
          </w:p>
        </w:tc>
      </w:tr>
      <w:tr w:rsidR="00620ECC" w14:paraId="637065B5" w14:textId="77777777">
        <w:tc>
          <w:tcPr>
            <w:tcW w:w="234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B1" w14:textId="77777777" w:rsidR="00620ECC" w:rsidRDefault="00750602">
            <w:pPr>
              <w:jc w:val="center"/>
            </w:pPr>
            <w:r>
              <w:rPr>
                <w:sz w:val="20"/>
                <w:szCs w:val="20"/>
              </w:rPr>
              <w:t>🏆 Surge</w:t>
            </w:r>
          </w:p>
        </w:tc>
        <w:tc>
          <w:tcPr>
            <w:tcW w:w="234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B2" w14:textId="77777777" w:rsidR="00620ECC" w:rsidRDefault="00750602">
            <w:pPr>
              <w:jc w:val="center"/>
            </w:pPr>
            <w:r>
              <w:rPr>
                <w:sz w:val="20"/>
                <w:szCs w:val="20"/>
              </w:rPr>
              <w:t>723</w:t>
            </w:r>
          </w:p>
        </w:tc>
        <w:tc>
          <w:tcPr>
            <w:tcW w:w="234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B3" w14:textId="77777777" w:rsidR="00620ECC" w:rsidRDefault="00750602">
            <w:pPr>
              <w:jc w:val="center"/>
            </w:pPr>
            <w:r>
              <w:rPr>
                <w:sz w:val="20"/>
                <w:szCs w:val="20"/>
              </w:rPr>
              <w:t>45.7%</w:t>
            </w:r>
          </w:p>
        </w:tc>
        <w:tc>
          <w:tcPr>
            <w:tcW w:w="234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B4" w14:textId="77777777" w:rsidR="00620ECC" w:rsidRDefault="00750602">
            <w:pPr>
              <w:jc w:val="center"/>
            </w:pPr>
            <w:r>
              <w:rPr>
                <w:sz w:val="20"/>
                <w:szCs w:val="20"/>
              </w:rPr>
              <w:t>2023–2026</w:t>
            </w:r>
          </w:p>
        </w:tc>
      </w:tr>
      <w:tr w:rsidR="00620ECC" w14:paraId="637065BA" w14:textId="77777777">
        <w:tc>
          <w:tcPr>
            <w:tcW w:w="2340" w:type="dxa"/>
            <w:tcBorders>
              <w:top w:val="single" w:sz="1" w:space="0" w:color="C0A020"/>
              <w:left w:val="single" w:sz="1" w:space="0" w:color="C0A020"/>
              <w:bottom w:val="single" w:sz="1" w:space="0" w:color="C0A020"/>
              <w:right w:val="single" w:sz="1" w:space="0" w:color="C0A020"/>
            </w:tcBorders>
            <w:shd w:val="clear" w:color="auto" w:fill="FFFFF0"/>
            <w:tcMar>
              <w:top w:w="80" w:type="dxa"/>
              <w:left w:w="120" w:type="dxa"/>
              <w:bottom w:w="80" w:type="dxa"/>
              <w:right w:w="120" w:type="dxa"/>
            </w:tcMar>
          </w:tcPr>
          <w:p w14:paraId="637065B6" w14:textId="77777777" w:rsidR="00620ECC" w:rsidRDefault="00750602">
            <w:pPr>
              <w:jc w:val="center"/>
            </w:pPr>
            <w:r>
              <w:rPr>
                <w:sz w:val="20"/>
                <w:szCs w:val="20"/>
              </w:rPr>
              <w:t>🔄 Recovery</w:t>
            </w:r>
          </w:p>
        </w:tc>
        <w:tc>
          <w:tcPr>
            <w:tcW w:w="2340" w:type="dxa"/>
            <w:tcBorders>
              <w:top w:val="single" w:sz="1" w:space="0" w:color="C0A020"/>
              <w:left w:val="single" w:sz="1" w:space="0" w:color="C0A020"/>
              <w:bottom w:val="single" w:sz="1" w:space="0" w:color="C0A020"/>
              <w:right w:val="single" w:sz="1" w:space="0" w:color="C0A020"/>
            </w:tcBorders>
            <w:shd w:val="clear" w:color="auto" w:fill="FFFFF0"/>
            <w:tcMar>
              <w:top w:w="80" w:type="dxa"/>
              <w:left w:w="120" w:type="dxa"/>
              <w:bottom w:w="80" w:type="dxa"/>
              <w:right w:w="120" w:type="dxa"/>
            </w:tcMar>
          </w:tcPr>
          <w:p w14:paraId="637065B7" w14:textId="77777777" w:rsidR="00620ECC" w:rsidRDefault="00750602">
            <w:pPr>
              <w:jc w:val="center"/>
            </w:pPr>
            <w:r>
              <w:rPr>
                <w:sz w:val="20"/>
                <w:szCs w:val="20"/>
              </w:rPr>
              <w:t>355</w:t>
            </w:r>
          </w:p>
        </w:tc>
        <w:tc>
          <w:tcPr>
            <w:tcW w:w="2340" w:type="dxa"/>
            <w:tcBorders>
              <w:top w:val="single" w:sz="1" w:space="0" w:color="C0A020"/>
              <w:left w:val="single" w:sz="1" w:space="0" w:color="C0A020"/>
              <w:bottom w:val="single" w:sz="1" w:space="0" w:color="C0A020"/>
              <w:right w:val="single" w:sz="1" w:space="0" w:color="C0A020"/>
            </w:tcBorders>
            <w:shd w:val="clear" w:color="auto" w:fill="FFFFF0"/>
            <w:tcMar>
              <w:top w:w="80" w:type="dxa"/>
              <w:left w:w="120" w:type="dxa"/>
              <w:bottom w:w="80" w:type="dxa"/>
              <w:right w:w="120" w:type="dxa"/>
            </w:tcMar>
          </w:tcPr>
          <w:p w14:paraId="637065B8" w14:textId="77777777" w:rsidR="00620ECC" w:rsidRDefault="00750602">
            <w:pPr>
              <w:jc w:val="center"/>
            </w:pPr>
            <w:r>
              <w:rPr>
                <w:sz w:val="20"/>
                <w:szCs w:val="20"/>
              </w:rPr>
              <w:t>22.4%</w:t>
            </w:r>
          </w:p>
        </w:tc>
        <w:tc>
          <w:tcPr>
            <w:tcW w:w="2340" w:type="dxa"/>
            <w:tcBorders>
              <w:top w:val="single" w:sz="1" w:space="0" w:color="C0A020"/>
              <w:left w:val="single" w:sz="1" w:space="0" w:color="C0A020"/>
              <w:bottom w:val="single" w:sz="1" w:space="0" w:color="C0A020"/>
              <w:right w:val="single" w:sz="1" w:space="0" w:color="C0A020"/>
            </w:tcBorders>
            <w:shd w:val="clear" w:color="auto" w:fill="FFFFF0"/>
            <w:tcMar>
              <w:top w:w="80" w:type="dxa"/>
              <w:left w:w="120" w:type="dxa"/>
              <w:bottom w:w="80" w:type="dxa"/>
              <w:right w:w="120" w:type="dxa"/>
            </w:tcMar>
          </w:tcPr>
          <w:p w14:paraId="637065B9" w14:textId="77777777" w:rsidR="00620ECC" w:rsidRDefault="00750602">
            <w:pPr>
              <w:jc w:val="center"/>
            </w:pPr>
            <w:r>
              <w:rPr>
                <w:sz w:val="20"/>
                <w:szCs w:val="20"/>
              </w:rPr>
              <w:t>2021–2022</w:t>
            </w:r>
          </w:p>
        </w:tc>
      </w:tr>
      <w:tr w:rsidR="00620ECC" w14:paraId="637065BF" w14:textId="77777777">
        <w:tc>
          <w:tcPr>
            <w:tcW w:w="234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BB" w14:textId="77777777" w:rsidR="00620ECC" w:rsidRDefault="00750602">
            <w:pPr>
              <w:jc w:val="center"/>
            </w:pPr>
            <w:r>
              <w:rPr>
                <w:sz w:val="20"/>
                <w:szCs w:val="20"/>
              </w:rPr>
              <w:t>📈 Inflation</w:t>
            </w:r>
          </w:p>
        </w:tc>
        <w:tc>
          <w:tcPr>
            <w:tcW w:w="234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BC" w14:textId="77777777" w:rsidR="00620ECC" w:rsidRDefault="00750602">
            <w:pPr>
              <w:jc w:val="center"/>
            </w:pPr>
            <w:r>
              <w:rPr>
                <w:sz w:val="20"/>
                <w:szCs w:val="20"/>
              </w:rPr>
              <w:t>251</w:t>
            </w:r>
          </w:p>
        </w:tc>
        <w:tc>
          <w:tcPr>
            <w:tcW w:w="234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BD" w14:textId="77777777" w:rsidR="00620ECC" w:rsidRDefault="00750602">
            <w:pPr>
              <w:jc w:val="center"/>
            </w:pPr>
            <w:r>
              <w:rPr>
                <w:sz w:val="20"/>
                <w:szCs w:val="20"/>
              </w:rPr>
              <w:t>15.9%</w:t>
            </w:r>
          </w:p>
        </w:tc>
        <w:tc>
          <w:tcPr>
            <w:tcW w:w="234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BE" w14:textId="77777777" w:rsidR="00620ECC" w:rsidRDefault="00750602">
            <w:pPr>
              <w:jc w:val="center"/>
            </w:pPr>
            <w:r>
              <w:rPr>
                <w:sz w:val="20"/>
                <w:szCs w:val="20"/>
              </w:rPr>
              <w:t>2022–2023</w:t>
            </w:r>
          </w:p>
        </w:tc>
      </w:tr>
      <w:tr w:rsidR="00620ECC" w14:paraId="637065C4" w14:textId="77777777">
        <w:tc>
          <w:tcPr>
            <w:tcW w:w="2340" w:type="dxa"/>
            <w:tcBorders>
              <w:top w:val="single" w:sz="1" w:space="0" w:color="C0A020"/>
              <w:left w:val="single" w:sz="1" w:space="0" w:color="C0A020"/>
              <w:bottom w:val="single" w:sz="1" w:space="0" w:color="C0A020"/>
              <w:right w:val="single" w:sz="1" w:space="0" w:color="C0A020"/>
            </w:tcBorders>
            <w:shd w:val="clear" w:color="auto" w:fill="FFFFF0"/>
            <w:tcMar>
              <w:top w:w="80" w:type="dxa"/>
              <w:left w:w="120" w:type="dxa"/>
              <w:bottom w:w="80" w:type="dxa"/>
              <w:right w:w="120" w:type="dxa"/>
            </w:tcMar>
          </w:tcPr>
          <w:p w14:paraId="637065C0" w14:textId="77777777" w:rsidR="00620ECC" w:rsidRDefault="00750602">
            <w:pPr>
              <w:jc w:val="center"/>
            </w:pPr>
            <w:r>
              <w:rPr>
                <w:sz w:val="20"/>
                <w:szCs w:val="20"/>
              </w:rPr>
              <w:t>🦠 COVID</w:t>
            </w:r>
          </w:p>
        </w:tc>
        <w:tc>
          <w:tcPr>
            <w:tcW w:w="2340" w:type="dxa"/>
            <w:tcBorders>
              <w:top w:val="single" w:sz="1" w:space="0" w:color="C0A020"/>
              <w:left w:val="single" w:sz="1" w:space="0" w:color="C0A020"/>
              <w:bottom w:val="single" w:sz="1" w:space="0" w:color="C0A020"/>
              <w:right w:val="single" w:sz="1" w:space="0" w:color="C0A020"/>
            </w:tcBorders>
            <w:shd w:val="clear" w:color="auto" w:fill="FFFFF0"/>
            <w:tcMar>
              <w:top w:w="80" w:type="dxa"/>
              <w:left w:w="120" w:type="dxa"/>
              <w:bottom w:w="80" w:type="dxa"/>
              <w:right w:w="120" w:type="dxa"/>
            </w:tcMar>
          </w:tcPr>
          <w:p w14:paraId="637065C1" w14:textId="77777777" w:rsidR="00620ECC" w:rsidRDefault="00750602">
            <w:pPr>
              <w:jc w:val="center"/>
            </w:pPr>
            <w:r>
              <w:rPr>
                <w:sz w:val="20"/>
                <w:szCs w:val="20"/>
              </w:rPr>
              <w:t>213</w:t>
            </w:r>
          </w:p>
        </w:tc>
        <w:tc>
          <w:tcPr>
            <w:tcW w:w="2340" w:type="dxa"/>
            <w:tcBorders>
              <w:top w:val="single" w:sz="1" w:space="0" w:color="C0A020"/>
              <w:left w:val="single" w:sz="1" w:space="0" w:color="C0A020"/>
              <w:bottom w:val="single" w:sz="1" w:space="0" w:color="C0A020"/>
              <w:right w:val="single" w:sz="1" w:space="0" w:color="C0A020"/>
            </w:tcBorders>
            <w:shd w:val="clear" w:color="auto" w:fill="FFFFF0"/>
            <w:tcMar>
              <w:top w:w="80" w:type="dxa"/>
              <w:left w:w="120" w:type="dxa"/>
              <w:bottom w:w="80" w:type="dxa"/>
              <w:right w:w="120" w:type="dxa"/>
            </w:tcMar>
          </w:tcPr>
          <w:p w14:paraId="637065C2" w14:textId="77777777" w:rsidR="00620ECC" w:rsidRDefault="00750602">
            <w:pPr>
              <w:jc w:val="center"/>
            </w:pPr>
            <w:r>
              <w:rPr>
                <w:sz w:val="20"/>
                <w:szCs w:val="20"/>
              </w:rPr>
              <w:t>13.5%</w:t>
            </w:r>
          </w:p>
        </w:tc>
        <w:tc>
          <w:tcPr>
            <w:tcW w:w="2340" w:type="dxa"/>
            <w:tcBorders>
              <w:top w:val="single" w:sz="1" w:space="0" w:color="C0A020"/>
              <w:left w:val="single" w:sz="1" w:space="0" w:color="C0A020"/>
              <w:bottom w:val="single" w:sz="1" w:space="0" w:color="C0A020"/>
              <w:right w:val="single" w:sz="1" w:space="0" w:color="C0A020"/>
            </w:tcBorders>
            <w:shd w:val="clear" w:color="auto" w:fill="FFFFF0"/>
            <w:tcMar>
              <w:top w:w="80" w:type="dxa"/>
              <w:left w:w="120" w:type="dxa"/>
              <w:bottom w:w="80" w:type="dxa"/>
              <w:right w:w="120" w:type="dxa"/>
            </w:tcMar>
          </w:tcPr>
          <w:p w14:paraId="637065C3" w14:textId="77777777" w:rsidR="00620ECC" w:rsidRDefault="00750602">
            <w:pPr>
              <w:jc w:val="center"/>
            </w:pPr>
            <w:r>
              <w:rPr>
                <w:sz w:val="20"/>
                <w:szCs w:val="20"/>
              </w:rPr>
              <w:t>2020–2021</w:t>
            </w:r>
          </w:p>
        </w:tc>
      </w:tr>
      <w:tr w:rsidR="00620ECC" w14:paraId="637065C9" w14:textId="77777777">
        <w:tc>
          <w:tcPr>
            <w:tcW w:w="234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C5" w14:textId="77777777" w:rsidR="00620ECC" w:rsidRDefault="00750602">
            <w:pPr>
              <w:jc w:val="center"/>
            </w:pPr>
            <w:r>
              <w:rPr>
                <w:sz w:val="20"/>
                <w:szCs w:val="20"/>
              </w:rPr>
              <w:t>⏳ Pre-COVID</w:t>
            </w:r>
          </w:p>
        </w:tc>
        <w:tc>
          <w:tcPr>
            <w:tcW w:w="234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C6" w14:textId="77777777" w:rsidR="00620ECC" w:rsidRDefault="00750602">
            <w:pPr>
              <w:jc w:val="center"/>
            </w:pPr>
            <w:r>
              <w:rPr>
                <w:sz w:val="20"/>
                <w:szCs w:val="20"/>
              </w:rPr>
              <w:t>40</w:t>
            </w:r>
          </w:p>
        </w:tc>
        <w:tc>
          <w:tcPr>
            <w:tcW w:w="234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C7" w14:textId="77777777" w:rsidR="00620ECC" w:rsidRDefault="00750602">
            <w:pPr>
              <w:jc w:val="center"/>
            </w:pPr>
            <w:r>
              <w:rPr>
                <w:sz w:val="20"/>
                <w:szCs w:val="20"/>
              </w:rPr>
              <w:t>2.5%</w:t>
            </w:r>
          </w:p>
        </w:tc>
        <w:tc>
          <w:tcPr>
            <w:tcW w:w="234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20" w:type="dxa"/>
              <w:bottom w:w="80" w:type="dxa"/>
              <w:right w:w="120" w:type="dxa"/>
            </w:tcMar>
          </w:tcPr>
          <w:p w14:paraId="637065C8" w14:textId="77777777" w:rsidR="00620ECC" w:rsidRDefault="00750602">
            <w:pPr>
              <w:jc w:val="center"/>
            </w:pPr>
            <w:r>
              <w:rPr>
                <w:sz w:val="20"/>
                <w:szCs w:val="20"/>
              </w:rPr>
              <w:t>Jan–Feb 2020</w:t>
            </w:r>
          </w:p>
        </w:tc>
      </w:tr>
    </w:tbl>
    <w:p w14:paraId="637065CA" w14:textId="77777777" w:rsidR="00620ECC" w:rsidRDefault="00620ECC">
      <w:pPr>
        <w:spacing w:after="300"/>
      </w:pPr>
    </w:p>
    <w:p w14:paraId="637065CB" w14:textId="77777777" w:rsidR="00620ECC" w:rsidRDefault="00750602">
      <w:pPr>
        <w:pBdr>
          <w:bottom w:val="single" w:sz="6" w:space="1" w:color="C0A020"/>
        </w:pBdr>
        <w:spacing w:before="400" w:after="200"/>
      </w:pPr>
      <w:r>
        <w:rPr>
          <w:b/>
          <w:bCs/>
          <w:color w:val="C0A020"/>
          <w:sz w:val="36"/>
          <w:szCs w:val="36"/>
        </w:rPr>
        <w:t>🌐 Why USD Affects Gold — 4 Core Forces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20ECC" w14:paraId="637065D0" w14:textId="77777777">
        <w:tc>
          <w:tcPr>
            <w:tcW w:w="4680" w:type="dxa"/>
            <w:tcBorders>
              <w:top w:val="single" w:sz="1" w:space="0" w:color="C0A020"/>
              <w:left w:val="single" w:sz="1" w:space="0" w:color="C0A020"/>
              <w:bottom w:val="single" w:sz="1" w:space="0" w:color="C0A020"/>
              <w:right w:val="single" w:sz="1" w:space="0" w:color="C0A020"/>
            </w:tcBorders>
            <w:shd w:val="clear" w:color="auto" w:fill="FFF8DC"/>
            <w:tcMar>
              <w:top w:w="120" w:type="dxa"/>
              <w:left w:w="160" w:type="dxa"/>
              <w:bottom w:w="120" w:type="dxa"/>
              <w:right w:w="160" w:type="dxa"/>
            </w:tcMar>
          </w:tcPr>
          <w:p w14:paraId="637065CC" w14:textId="77777777" w:rsidR="00620ECC" w:rsidRDefault="00750602">
            <w:pPr>
              <w:spacing w:after="100"/>
            </w:pPr>
            <w:r>
              <w:rPr>
                <w:b/>
                <w:bCs/>
                <w:color w:val="1F3864"/>
                <w:sz w:val="24"/>
                <w:szCs w:val="24"/>
              </w:rPr>
              <w:t>01 — 🌍 Global Pricing in USD</w:t>
            </w:r>
          </w:p>
          <w:p w14:paraId="637065CD" w14:textId="77777777" w:rsidR="00620ECC" w:rsidRDefault="00750602">
            <w:r>
              <w:rPr>
                <w:sz w:val="20"/>
                <w:szCs w:val="20"/>
              </w:rPr>
              <w:t>Gold is priced globally in US Dollars. When the dollar strengthens, you need fewer dollars to buy the same amount of gold — making gold appear cheaper and dampening demand. When USD weakens, gold becomes more expensive globally, driving demand and price up.</w:t>
            </w:r>
          </w:p>
        </w:tc>
        <w:tc>
          <w:tcPr>
            <w:tcW w:w="4680" w:type="dxa"/>
            <w:tcBorders>
              <w:top w:val="single" w:sz="1" w:space="0" w:color="C0A020"/>
              <w:left w:val="single" w:sz="1" w:space="0" w:color="C0A020"/>
              <w:bottom w:val="single" w:sz="1" w:space="0" w:color="C0A020"/>
              <w:right w:val="single" w:sz="1" w:space="0" w:color="C0A020"/>
            </w:tcBorders>
            <w:shd w:val="clear" w:color="auto" w:fill="FFF0DC"/>
            <w:tcMar>
              <w:top w:w="120" w:type="dxa"/>
              <w:left w:w="160" w:type="dxa"/>
              <w:bottom w:w="120" w:type="dxa"/>
              <w:right w:w="160" w:type="dxa"/>
            </w:tcMar>
          </w:tcPr>
          <w:p w14:paraId="637065CE" w14:textId="77777777" w:rsidR="00620ECC" w:rsidRDefault="00750602">
            <w:pPr>
              <w:spacing w:after="100"/>
            </w:pPr>
            <w:r>
              <w:rPr>
                <w:b/>
                <w:bCs/>
                <w:color w:val="1F3864"/>
                <w:sz w:val="24"/>
                <w:szCs w:val="24"/>
              </w:rPr>
              <w:t>02 — 🛡️ Inflation Hedge</w:t>
            </w:r>
          </w:p>
          <w:p w14:paraId="637065CF" w14:textId="77777777" w:rsidR="00620ECC" w:rsidRDefault="00750602">
            <w:r>
              <w:rPr>
                <w:sz w:val="20"/>
                <w:szCs w:val="20"/>
              </w:rPr>
              <w:t>As the USD loses purchasing power through inflation, investors turn to gold as a store of value. This relationship has held for centuries — gold preserves wealth across currency crises. During high inflation (2022–2023), gold prices surged significantly.</w:t>
            </w:r>
          </w:p>
        </w:tc>
      </w:tr>
      <w:tr w:rsidR="00620ECC" w14:paraId="637065D5" w14:textId="77777777">
        <w:tc>
          <w:tcPr>
            <w:tcW w:w="4680" w:type="dxa"/>
            <w:tcBorders>
              <w:top w:val="single" w:sz="1" w:space="0" w:color="C0A020"/>
              <w:left w:val="single" w:sz="1" w:space="0" w:color="C0A020"/>
              <w:bottom w:val="single" w:sz="1" w:space="0" w:color="C0A020"/>
              <w:right w:val="single" w:sz="1" w:space="0" w:color="C0A020"/>
            </w:tcBorders>
            <w:shd w:val="clear" w:color="auto" w:fill="FFDCDC"/>
            <w:tcMar>
              <w:top w:w="120" w:type="dxa"/>
              <w:left w:w="160" w:type="dxa"/>
              <w:bottom w:w="120" w:type="dxa"/>
              <w:right w:w="160" w:type="dxa"/>
            </w:tcMar>
          </w:tcPr>
          <w:p w14:paraId="637065D1" w14:textId="77777777" w:rsidR="00620ECC" w:rsidRDefault="00750602">
            <w:pPr>
              <w:spacing w:after="100"/>
            </w:pPr>
            <w:r>
              <w:rPr>
                <w:b/>
                <w:bCs/>
                <w:color w:val="1F3864"/>
                <w:sz w:val="24"/>
                <w:szCs w:val="24"/>
              </w:rPr>
              <w:t>03 — 📊 Interest Rates</w:t>
            </w:r>
          </w:p>
          <w:p w14:paraId="637065D2" w14:textId="77777777" w:rsidR="00620ECC" w:rsidRDefault="00750602">
            <w:r>
              <w:rPr>
                <w:sz w:val="20"/>
                <w:szCs w:val="20"/>
              </w:rPr>
              <w:t>When the Fed raises rates, USD-denominated assets like bonds yield more, reducing the appeal of non-yielding gold. Lower rates have the opposite effect — pushing investors toward gold. Fed rate hikes in 2022–2023 temporarily suppressed gold despite inflation.</w:t>
            </w:r>
          </w:p>
        </w:tc>
        <w:tc>
          <w:tcPr>
            <w:tcW w:w="4680" w:type="dxa"/>
            <w:tcBorders>
              <w:top w:val="single" w:sz="1" w:space="0" w:color="C0A020"/>
              <w:left w:val="single" w:sz="1" w:space="0" w:color="C0A020"/>
              <w:bottom w:val="single" w:sz="1" w:space="0" w:color="C0A020"/>
              <w:right w:val="single" w:sz="1" w:space="0" w:color="C0A020"/>
            </w:tcBorders>
            <w:shd w:val="clear" w:color="auto" w:fill="DCEEFF"/>
            <w:tcMar>
              <w:top w:w="120" w:type="dxa"/>
              <w:left w:w="160" w:type="dxa"/>
              <w:bottom w:w="120" w:type="dxa"/>
              <w:right w:w="160" w:type="dxa"/>
            </w:tcMar>
          </w:tcPr>
          <w:p w14:paraId="637065D3" w14:textId="77777777" w:rsidR="00620ECC" w:rsidRDefault="00750602">
            <w:pPr>
              <w:spacing w:after="100"/>
            </w:pPr>
            <w:r>
              <w:rPr>
                <w:b/>
                <w:bCs/>
                <w:color w:val="1F3864"/>
                <w:sz w:val="24"/>
                <w:szCs w:val="24"/>
              </w:rPr>
              <w:t>04 — 🏦 Safe-Haven Demand</w:t>
            </w:r>
          </w:p>
          <w:p w14:paraId="637065D4" w14:textId="77777777" w:rsidR="00620ECC" w:rsidRDefault="00750602">
            <w:r>
              <w:rPr>
                <w:sz w:val="20"/>
                <w:szCs w:val="20"/>
              </w:rPr>
              <w:t>During geopolitical crises or economic uncertainty, investors flee to BOTH gold and the USD simultaneously — temporarily breaking the inverse correlation and causing both to rise. This explains why gold and USD had a +0.80 correlation in this dataset overall.</w:t>
            </w:r>
          </w:p>
        </w:tc>
      </w:tr>
    </w:tbl>
    <w:p w14:paraId="637065D6" w14:textId="77777777" w:rsidR="00620ECC" w:rsidRDefault="00620ECC">
      <w:pPr>
        <w:spacing w:after="300"/>
      </w:pPr>
    </w:p>
    <w:p w14:paraId="637065D7" w14:textId="77777777" w:rsidR="00620ECC" w:rsidRDefault="00750602">
      <w:pPr>
        <w:pBdr>
          <w:bottom w:val="single" w:sz="6" w:space="1" w:color="C0A020"/>
        </w:pBdr>
        <w:spacing w:before="400" w:after="200"/>
      </w:pPr>
      <w:r>
        <w:rPr>
          <w:b/>
          <w:bCs/>
          <w:color w:val="C0A020"/>
          <w:sz w:val="36"/>
          <w:szCs w:val="36"/>
        </w:rPr>
        <w:t>⚡ Quick Stats Card — Dashboard Page 2</w:t>
      </w:r>
    </w:p>
    <w:p w14:paraId="637065D8" w14:textId="77777777" w:rsidR="00620ECC" w:rsidRDefault="00750602">
      <w:pPr>
        <w:spacing w:before="80" w:after="80"/>
      </w:pPr>
      <w:r>
        <w:t>Use these verified data-backed stats in your dashboard's small space section:</w:t>
      </w:r>
    </w:p>
    <w:p w14:paraId="637065D9" w14:textId="77777777" w:rsidR="00620ECC" w:rsidRDefault="00620ECC">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20ECC" w14:paraId="637065DC" w14:textId="77777777">
        <w:tc>
          <w:tcPr>
            <w:tcW w:w="4680" w:type="dxa"/>
            <w:tcBorders>
              <w:top w:val="single" w:sz="1" w:space="0" w:color="C0A020"/>
              <w:left w:val="single" w:sz="1" w:space="0" w:color="C0A020"/>
              <w:bottom w:val="single" w:sz="1" w:space="0" w:color="C0A020"/>
              <w:right w:val="single" w:sz="1" w:space="0" w:color="C0A020"/>
            </w:tcBorders>
            <w:shd w:val="clear" w:color="auto" w:fill="1F3864"/>
            <w:tcMar>
              <w:top w:w="100" w:type="dxa"/>
              <w:left w:w="160" w:type="dxa"/>
              <w:bottom w:w="100" w:type="dxa"/>
              <w:right w:w="160" w:type="dxa"/>
            </w:tcMar>
          </w:tcPr>
          <w:p w14:paraId="637065DA" w14:textId="77777777" w:rsidR="00620ECC" w:rsidRDefault="00750602">
            <w:r>
              <w:rPr>
                <w:b/>
                <w:bCs/>
                <w:color w:val="FFFFFF"/>
              </w:rPr>
              <w:t>Stat</w:t>
            </w:r>
          </w:p>
        </w:tc>
        <w:tc>
          <w:tcPr>
            <w:tcW w:w="4680" w:type="dxa"/>
            <w:tcBorders>
              <w:top w:val="single" w:sz="1" w:space="0" w:color="C0A020"/>
              <w:left w:val="single" w:sz="1" w:space="0" w:color="C0A020"/>
              <w:bottom w:val="single" w:sz="1" w:space="0" w:color="C0A020"/>
              <w:right w:val="single" w:sz="1" w:space="0" w:color="C0A020"/>
            </w:tcBorders>
            <w:shd w:val="clear" w:color="auto" w:fill="1F3864"/>
            <w:tcMar>
              <w:top w:w="100" w:type="dxa"/>
              <w:left w:w="160" w:type="dxa"/>
              <w:bottom w:w="100" w:type="dxa"/>
              <w:right w:w="160" w:type="dxa"/>
            </w:tcMar>
          </w:tcPr>
          <w:p w14:paraId="637065DB" w14:textId="77777777" w:rsidR="00620ECC" w:rsidRDefault="00750602">
            <w:pPr>
              <w:jc w:val="center"/>
            </w:pPr>
            <w:r>
              <w:rPr>
                <w:b/>
                <w:bCs/>
                <w:color w:val="C0A020"/>
              </w:rPr>
              <w:t>Correct Value</w:t>
            </w:r>
          </w:p>
        </w:tc>
      </w:tr>
      <w:tr w:rsidR="00620ECC" w14:paraId="637065DF" w14:textId="77777777">
        <w:tc>
          <w:tcPr>
            <w:tcW w:w="468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60" w:type="dxa"/>
              <w:bottom w:w="80" w:type="dxa"/>
              <w:right w:w="160" w:type="dxa"/>
            </w:tcMar>
          </w:tcPr>
          <w:p w14:paraId="637065DD" w14:textId="77777777" w:rsidR="00620ECC" w:rsidRDefault="00750602">
            <w:r>
              <w:rPr>
                <w:color w:val="333333"/>
                <w:sz w:val="20"/>
                <w:szCs w:val="20"/>
              </w:rPr>
              <w:t>📈 Gold Return (2020–2026)</w:t>
            </w:r>
          </w:p>
        </w:tc>
        <w:tc>
          <w:tcPr>
            <w:tcW w:w="468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60" w:type="dxa"/>
              <w:bottom w:w="80" w:type="dxa"/>
              <w:right w:w="160" w:type="dxa"/>
            </w:tcMar>
          </w:tcPr>
          <w:p w14:paraId="637065DE" w14:textId="77777777" w:rsidR="00620ECC" w:rsidRDefault="00750602">
            <w:pPr>
              <w:jc w:val="center"/>
            </w:pPr>
            <w:r>
              <w:rPr>
                <w:b/>
                <w:bCs/>
                <w:color w:val="1F3864"/>
                <w:sz w:val="20"/>
                <w:szCs w:val="20"/>
              </w:rPr>
              <w:t>+218.6%</w:t>
            </w:r>
          </w:p>
        </w:tc>
      </w:tr>
      <w:tr w:rsidR="00620ECC" w14:paraId="637065E2" w14:textId="77777777">
        <w:tc>
          <w:tcPr>
            <w:tcW w:w="4680" w:type="dxa"/>
            <w:tcBorders>
              <w:top w:val="single" w:sz="1" w:space="0" w:color="C0A020"/>
              <w:left w:val="single" w:sz="1" w:space="0" w:color="C0A020"/>
              <w:bottom w:val="single" w:sz="1" w:space="0" w:color="C0A020"/>
              <w:right w:val="single" w:sz="1" w:space="0" w:color="C0A020"/>
            </w:tcBorders>
            <w:shd w:val="clear" w:color="auto" w:fill="FFFFF0"/>
            <w:tcMar>
              <w:top w:w="80" w:type="dxa"/>
              <w:left w:w="160" w:type="dxa"/>
              <w:bottom w:w="80" w:type="dxa"/>
              <w:right w:w="160" w:type="dxa"/>
            </w:tcMar>
          </w:tcPr>
          <w:p w14:paraId="637065E0" w14:textId="77777777" w:rsidR="00620ECC" w:rsidRDefault="00750602">
            <w:r>
              <w:rPr>
                <w:color w:val="333333"/>
                <w:sz w:val="20"/>
                <w:szCs w:val="20"/>
              </w:rPr>
              <w:t>🏆 Longest Market Phase</w:t>
            </w:r>
          </w:p>
        </w:tc>
        <w:tc>
          <w:tcPr>
            <w:tcW w:w="4680" w:type="dxa"/>
            <w:tcBorders>
              <w:top w:val="single" w:sz="1" w:space="0" w:color="C0A020"/>
              <w:left w:val="single" w:sz="1" w:space="0" w:color="C0A020"/>
              <w:bottom w:val="single" w:sz="1" w:space="0" w:color="C0A020"/>
              <w:right w:val="single" w:sz="1" w:space="0" w:color="C0A020"/>
            </w:tcBorders>
            <w:shd w:val="clear" w:color="auto" w:fill="FFFFF0"/>
            <w:tcMar>
              <w:top w:w="80" w:type="dxa"/>
              <w:left w:w="160" w:type="dxa"/>
              <w:bottom w:w="80" w:type="dxa"/>
              <w:right w:w="160" w:type="dxa"/>
            </w:tcMar>
          </w:tcPr>
          <w:p w14:paraId="637065E1" w14:textId="77777777" w:rsidR="00620ECC" w:rsidRDefault="00750602">
            <w:pPr>
              <w:jc w:val="center"/>
            </w:pPr>
            <w:r>
              <w:rPr>
                <w:b/>
                <w:bCs/>
                <w:color w:val="1F3864"/>
                <w:sz w:val="20"/>
                <w:szCs w:val="20"/>
              </w:rPr>
              <w:t>Surge — 650 days (2020–2025 filter)</w:t>
            </w:r>
          </w:p>
        </w:tc>
      </w:tr>
      <w:tr w:rsidR="00620ECC" w14:paraId="637065E5" w14:textId="77777777">
        <w:tc>
          <w:tcPr>
            <w:tcW w:w="468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60" w:type="dxa"/>
              <w:bottom w:w="80" w:type="dxa"/>
              <w:right w:w="160" w:type="dxa"/>
            </w:tcMar>
          </w:tcPr>
          <w:p w14:paraId="637065E3" w14:textId="77777777" w:rsidR="00620ECC" w:rsidRDefault="00750602">
            <w:r>
              <w:rPr>
                <w:color w:val="333333"/>
                <w:sz w:val="20"/>
                <w:szCs w:val="20"/>
              </w:rPr>
              <w:t>⚡ High Volatility Days</w:t>
            </w:r>
          </w:p>
        </w:tc>
        <w:tc>
          <w:tcPr>
            <w:tcW w:w="468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60" w:type="dxa"/>
              <w:bottom w:w="80" w:type="dxa"/>
              <w:right w:w="160" w:type="dxa"/>
            </w:tcMar>
          </w:tcPr>
          <w:p w14:paraId="637065E4" w14:textId="77777777" w:rsidR="00620ECC" w:rsidRDefault="00750602">
            <w:pPr>
              <w:jc w:val="center"/>
            </w:pPr>
            <w:r>
              <w:rPr>
                <w:b/>
                <w:bCs/>
                <w:color w:val="1F3864"/>
                <w:sz w:val="20"/>
                <w:szCs w:val="20"/>
              </w:rPr>
              <w:t>540 days</w:t>
            </w:r>
          </w:p>
        </w:tc>
      </w:tr>
      <w:tr w:rsidR="00620ECC" w14:paraId="637065E8" w14:textId="77777777">
        <w:tc>
          <w:tcPr>
            <w:tcW w:w="4680" w:type="dxa"/>
            <w:tcBorders>
              <w:top w:val="single" w:sz="1" w:space="0" w:color="C0A020"/>
              <w:left w:val="single" w:sz="1" w:space="0" w:color="C0A020"/>
              <w:bottom w:val="single" w:sz="1" w:space="0" w:color="C0A020"/>
              <w:right w:val="single" w:sz="1" w:space="0" w:color="C0A020"/>
            </w:tcBorders>
            <w:shd w:val="clear" w:color="auto" w:fill="FFFFF0"/>
            <w:tcMar>
              <w:top w:w="80" w:type="dxa"/>
              <w:left w:w="160" w:type="dxa"/>
              <w:bottom w:w="80" w:type="dxa"/>
              <w:right w:w="160" w:type="dxa"/>
            </w:tcMar>
          </w:tcPr>
          <w:p w14:paraId="637065E6" w14:textId="77777777" w:rsidR="00620ECC" w:rsidRDefault="00750602">
            <w:r>
              <w:rPr>
                <w:color w:val="333333"/>
                <w:sz w:val="20"/>
                <w:szCs w:val="20"/>
              </w:rPr>
              <w:t>📉 Strongest Inverse Day</w:t>
            </w:r>
          </w:p>
        </w:tc>
        <w:tc>
          <w:tcPr>
            <w:tcW w:w="4680" w:type="dxa"/>
            <w:tcBorders>
              <w:top w:val="single" w:sz="1" w:space="0" w:color="C0A020"/>
              <w:left w:val="single" w:sz="1" w:space="0" w:color="C0A020"/>
              <w:bottom w:val="single" w:sz="1" w:space="0" w:color="C0A020"/>
              <w:right w:val="single" w:sz="1" w:space="0" w:color="C0A020"/>
            </w:tcBorders>
            <w:shd w:val="clear" w:color="auto" w:fill="FFFFF0"/>
            <w:tcMar>
              <w:top w:w="80" w:type="dxa"/>
              <w:left w:w="160" w:type="dxa"/>
              <w:bottom w:w="80" w:type="dxa"/>
              <w:right w:w="160" w:type="dxa"/>
            </w:tcMar>
          </w:tcPr>
          <w:p w14:paraId="637065E7" w14:textId="77777777" w:rsidR="00620ECC" w:rsidRDefault="00750602">
            <w:pPr>
              <w:jc w:val="center"/>
            </w:pPr>
            <w:r>
              <w:rPr>
                <w:b/>
                <w:bCs/>
                <w:color w:val="1F3864"/>
                <w:sz w:val="20"/>
                <w:szCs w:val="20"/>
              </w:rPr>
              <w:t>Mar 13, 2020 — Gold -4.63%</w:t>
            </w:r>
          </w:p>
        </w:tc>
      </w:tr>
      <w:tr w:rsidR="00620ECC" w14:paraId="637065EB" w14:textId="77777777">
        <w:tc>
          <w:tcPr>
            <w:tcW w:w="468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60" w:type="dxa"/>
              <w:bottom w:w="80" w:type="dxa"/>
              <w:right w:w="160" w:type="dxa"/>
            </w:tcMar>
          </w:tcPr>
          <w:p w14:paraId="637065E9" w14:textId="77777777" w:rsidR="00620ECC" w:rsidRDefault="00750602">
            <w:r>
              <w:rPr>
                <w:color w:val="333333"/>
                <w:sz w:val="20"/>
                <w:szCs w:val="20"/>
              </w:rPr>
              <w:lastRenderedPageBreak/>
              <w:t>🏅 All-Time High</w:t>
            </w:r>
          </w:p>
        </w:tc>
        <w:tc>
          <w:tcPr>
            <w:tcW w:w="4680" w:type="dxa"/>
            <w:tcBorders>
              <w:top w:val="single" w:sz="1" w:space="0" w:color="C0A020"/>
              <w:left w:val="single" w:sz="1" w:space="0" w:color="C0A020"/>
              <w:bottom w:val="single" w:sz="1" w:space="0" w:color="C0A020"/>
              <w:right w:val="single" w:sz="1" w:space="0" w:color="C0A020"/>
            </w:tcBorders>
            <w:shd w:val="clear" w:color="auto" w:fill="FFF8DC"/>
            <w:tcMar>
              <w:top w:w="80" w:type="dxa"/>
              <w:left w:w="160" w:type="dxa"/>
              <w:bottom w:w="80" w:type="dxa"/>
              <w:right w:w="160" w:type="dxa"/>
            </w:tcMar>
          </w:tcPr>
          <w:p w14:paraId="637065EA" w14:textId="77777777" w:rsidR="00620ECC" w:rsidRDefault="00750602">
            <w:pPr>
              <w:jc w:val="center"/>
            </w:pPr>
            <w:r>
              <w:rPr>
                <w:b/>
                <w:bCs/>
                <w:color w:val="1F3864"/>
                <w:sz w:val="20"/>
                <w:szCs w:val="20"/>
              </w:rPr>
              <w:t>$5,318.40 — Jan 29, 2026</w:t>
            </w:r>
          </w:p>
        </w:tc>
      </w:tr>
      <w:tr w:rsidR="00620ECC" w14:paraId="637065EE" w14:textId="77777777">
        <w:tc>
          <w:tcPr>
            <w:tcW w:w="4680" w:type="dxa"/>
            <w:tcBorders>
              <w:top w:val="single" w:sz="1" w:space="0" w:color="C0A020"/>
              <w:left w:val="single" w:sz="1" w:space="0" w:color="C0A020"/>
              <w:bottom w:val="single" w:sz="1" w:space="0" w:color="C0A020"/>
              <w:right w:val="single" w:sz="1" w:space="0" w:color="C0A020"/>
            </w:tcBorders>
            <w:shd w:val="clear" w:color="auto" w:fill="FFFFF0"/>
            <w:tcMar>
              <w:top w:w="80" w:type="dxa"/>
              <w:left w:w="160" w:type="dxa"/>
              <w:bottom w:w="80" w:type="dxa"/>
              <w:right w:w="160" w:type="dxa"/>
            </w:tcMar>
          </w:tcPr>
          <w:p w14:paraId="637065EC" w14:textId="77777777" w:rsidR="00620ECC" w:rsidRDefault="00750602">
            <w:r>
              <w:rPr>
                <w:color w:val="333333"/>
                <w:sz w:val="20"/>
                <w:szCs w:val="20"/>
              </w:rPr>
              <w:t>📉 All-Time Low</w:t>
            </w:r>
          </w:p>
        </w:tc>
        <w:tc>
          <w:tcPr>
            <w:tcW w:w="4680" w:type="dxa"/>
            <w:tcBorders>
              <w:top w:val="single" w:sz="1" w:space="0" w:color="C0A020"/>
              <w:left w:val="single" w:sz="1" w:space="0" w:color="C0A020"/>
              <w:bottom w:val="single" w:sz="1" w:space="0" w:color="C0A020"/>
              <w:right w:val="single" w:sz="1" w:space="0" w:color="C0A020"/>
            </w:tcBorders>
            <w:shd w:val="clear" w:color="auto" w:fill="FFFFF0"/>
            <w:tcMar>
              <w:top w:w="80" w:type="dxa"/>
              <w:left w:w="160" w:type="dxa"/>
              <w:bottom w:w="80" w:type="dxa"/>
              <w:right w:w="160" w:type="dxa"/>
            </w:tcMar>
          </w:tcPr>
          <w:p w14:paraId="637065ED" w14:textId="77777777" w:rsidR="00620ECC" w:rsidRDefault="00750602">
            <w:pPr>
              <w:jc w:val="center"/>
            </w:pPr>
            <w:r>
              <w:rPr>
                <w:b/>
                <w:bCs/>
                <w:color w:val="1F3864"/>
                <w:sz w:val="20"/>
                <w:szCs w:val="20"/>
              </w:rPr>
              <w:t>$1,477.30 — Mar 18, 2020 (COVID)</w:t>
            </w:r>
          </w:p>
        </w:tc>
      </w:tr>
    </w:tbl>
    <w:p w14:paraId="637065EF" w14:textId="77777777" w:rsidR="00620ECC" w:rsidRDefault="00620ECC">
      <w:pPr>
        <w:spacing w:after="300"/>
      </w:pPr>
    </w:p>
    <w:p w14:paraId="637065F0" w14:textId="77777777" w:rsidR="00620ECC" w:rsidRDefault="00750602">
      <w:pPr>
        <w:pBdr>
          <w:bottom w:val="single" w:sz="6" w:space="1" w:color="C0A020"/>
        </w:pBdr>
        <w:spacing w:before="400" w:after="200"/>
      </w:pPr>
      <w:r>
        <w:rPr>
          <w:b/>
          <w:bCs/>
          <w:color w:val="C0A020"/>
          <w:sz w:val="36"/>
          <w:szCs w:val="36"/>
        </w:rPr>
        <w:t>🔮 Future Enhancements</w:t>
      </w:r>
    </w:p>
    <w:p w14:paraId="637065F1" w14:textId="77777777" w:rsidR="00620ECC" w:rsidRDefault="00750602">
      <w:pPr>
        <w:pStyle w:val="ListParagraph"/>
        <w:numPr>
          <w:ilvl w:val="0"/>
          <w:numId w:val="2"/>
        </w:numPr>
        <w:spacing w:before="60" w:after="60"/>
      </w:pPr>
      <w:r>
        <w:rPr>
          <w:b/>
          <w:bCs/>
        </w:rPr>
        <w:t xml:space="preserve">Time Series Forecasting: </w:t>
      </w:r>
    </w:p>
    <w:p w14:paraId="637065F2" w14:textId="77777777" w:rsidR="00620ECC" w:rsidRDefault="00750602">
      <w:pPr>
        <w:spacing w:before="80" w:after="80"/>
      </w:pPr>
      <w:r>
        <w:rPr>
          <w:color w:val="444444"/>
        </w:rPr>
        <w:t xml:space="preserve">   Implement ARIMA or Prophet models to predict future gold price trends based on historical patterns and USD movements.</w:t>
      </w:r>
    </w:p>
    <w:p w14:paraId="637065F3" w14:textId="77777777" w:rsidR="00620ECC" w:rsidRDefault="00750602">
      <w:pPr>
        <w:pStyle w:val="ListParagraph"/>
        <w:numPr>
          <w:ilvl w:val="0"/>
          <w:numId w:val="2"/>
        </w:numPr>
        <w:spacing w:before="60" w:after="60"/>
      </w:pPr>
      <w:r>
        <w:rPr>
          <w:b/>
          <w:bCs/>
        </w:rPr>
        <w:t xml:space="preserve">Geospatial Analysis: </w:t>
      </w:r>
    </w:p>
    <w:p w14:paraId="637065F4" w14:textId="77777777" w:rsidR="00620ECC" w:rsidRDefault="00750602">
      <w:pPr>
        <w:spacing w:before="80" w:after="80"/>
      </w:pPr>
      <w:r>
        <w:rPr>
          <w:color w:val="444444"/>
        </w:rPr>
        <w:t xml:space="preserve">   Integrate country-level demand data to visualize which regions drive gold buying pressure during different market phases.</w:t>
      </w:r>
    </w:p>
    <w:p w14:paraId="637065F5" w14:textId="77777777" w:rsidR="00620ECC" w:rsidRDefault="00750602">
      <w:pPr>
        <w:pStyle w:val="ListParagraph"/>
        <w:numPr>
          <w:ilvl w:val="0"/>
          <w:numId w:val="2"/>
        </w:numPr>
        <w:spacing w:before="60" w:after="60"/>
      </w:pPr>
      <w:r>
        <w:rPr>
          <w:b/>
          <w:bCs/>
        </w:rPr>
        <w:t xml:space="preserve">Sentiment Analysis: </w:t>
      </w:r>
    </w:p>
    <w:p w14:paraId="637065F6" w14:textId="77777777" w:rsidR="00620ECC" w:rsidRDefault="00750602">
      <w:pPr>
        <w:spacing w:before="80" w:after="80"/>
      </w:pPr>
      <w:r>
        <w:rPr>
          <w:color w:val="444444"/>
        </w:rPr>
        <w:t xml:space="preserve">   Combine news/social media sentiment data with gold price movements to identify early warning signals for price surges.</w:t>
      </w:r>
    </w:p>
    <w:p w14:paraId="637065F7" w14:textId="77777777" w:rsidR="00620ECC" w:rsidRDefault="00750602">
      <w:pPr>
        <w:pStyle w:val="ListParagraph"/>
        <w:numPr>
          <w:ilvl w:val="0"/>
          <w:numId w:val="2"/>
        </w:numPr>
        <w:spacing w:before="60" w:after="60"/>
      </w:pPr>
      <w:r>
        <w:rPr>
          <w:b/>
          <w:bCs/>
        </w:rPr>
        <w:t xml:space="preserve">Real-Time Dashboard: </w:t>
      </w:r>
    </w:p>
    <w:p w14:paraId="637065F8" w14:textId="77777777" w:rsidR="00620ECC" w:rsidRDefault="00750602">
      <w:pPr>
        <w:spacing w:before="80" w:after="80"/>
      </w:pPr>
      <w:r>
        <w:rPr>
          <w:color w:val="444444"/>
        </w:rPr>
        <w:t xml:space="preserve">   Connect Power BI to live Yahoo Finance API for real-time gold and USD price monitoring with automated alerts.</w:t>
      </w:r>
    </w:p>
    <w:p w14:paraId="637065F9" w14:textId="77777777" w:rsidR="00620ECC" w:rsidRDefault="00750602">
      <w:pPr>
        <w:pStyle w:val="ListParagraph"/>
        <w:numPr>
          <w:ilvl w:val="0"/>
          <w:numId w:val="2"/>
        </w:numPr>
        <w:spacing w:before="60" w:after="60"/>
      </w:pPr>
      <w:r>
        <w:rPr>
          <w:b/>
          <w:bCs/>
        </w:rPr>
        <w:t xml:space="preserve">Machine Learning Prediction: </w:t>
      </w:r>
    </w:p>
    <w:p w14:paraId="637065FA" w14:textId="77777777" w:rsidR="00620ECC" w:rsidRDefault="00750602">
      <w:pPr>
        <w:spacing w:before="80" w:after="80"/>
        <w:rPr>
          <w:color w:val="444444"/>
        </w:rPr>
      </w:pPr>
      <w:r>
        <w:rPr>
          <w:color w:val="444444"/>
        </w:rPr>
        <w:t xml:space="preserve">   Build a classification model to predict the next market phase (Bullish/Bearish/Neutral) using Gold and USD features.</w:t>
      </w:r>
    </w:p>
    <w:p w14:paraId="77C489B7" w14:textId="77777777" w:rsidR="001642F5" w:rsidRDefault="001642F5">
      <w:pPr>
        <w:spacing w:before="80" w:after="80"/>
        <w:rPr>
          <w:color w:val="444444"/>
        </w:rPr>
      </w:pPr>
    </w:p>
    <w:p w14:paraId="0BE91B31" w14:textId="729B86AB" w:rsidR="001642F5" w:rsidRDefault="001642F5" w:rsidP="001642F5">
      <w:pPr>
        <w:pBdr>
          <w:bottom w:val="single" w:sz="6" w:space="1" w:color="C0A020"/>
        </w:pBdr>
        <w:spacing w:before="400" w:after="200"/>
      </w:pPr>
      <w:r>
        <w:rPr>
          <w:b/>
          <w:bCs/>
          <w:color w:val="C0A020"/>
          <w:sz w:val="36"/>
          <w:szCs w:val="36"/>
        </w:rPr>
        <w:t>Dashboard</w:t>
      </w:r>
      <w:r w:rsidR="00ED517D">
        <w:rPr>
          <w:b/>
          <w:bCs/>
          <w:color w:val="C0A020"/>
          <w:sz w:val="36"/>
          <w:szCs w:val="36"/>
        </w:rPr>
        <w:t xml:space="preserve"> screenshot</w:t>
      </w:r>
    </w:p>
    <w:p w14:paraId="51A0A057" w14:textId="7C2DB4FF" w:rsidR="001642F5" w:rsidRDefault="00ED517D">
      <w:pPr>
        <w:spacing w:before="80" w:after="80"/>
      </w:pPr>
      <w:r>
        <w:rPr>
          <w:noProof/>
        </w:rPr>
        <w:drawing>
          <wp:inline distT="0" distB="0" distL="0" distR="0" wp14:anchorId="00859646" wp14:editId="3112C44F">
            <wp:extent cx="6400800" cy="3292475"/>
            <wp:effectExtent l="0" t="0" r="0" b="3175"/>
            <wp:docPr id="75838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84575" name="Picture 758384575"/>
                    <pic:cNvPicPr/>
                  </pic:nvPicPr>
                  <pic:blipFill>
                    <a:blip r:embed="rId5">
                      <a:extLst>
                        <a:ext uri="{28A0092B-C50C-407E-A947-70E740481C1C}">
                          <a14:useLocalDpi xmlns:a14="http://schemas.microsoft.com/office/drawing/2010/main" val="0"/>
                        </a:ext>
                      </a:extLst>
                    </a:blip>
                    <a:stretch>
                      <a:fillRect/>
                    </a:stretch>
                  </pic:blipFill>
                  <pic:spPr>
                    <a:xfrm>
                      <a:off x="0" y="0"/>
                      <a:ext cx="6400800" cy="3292475"/>
                    </a:xfrm>
                    <a:prstGeom prst="rect">
                      <a:avLst/>
                    </a:prstGeom>
                  </pic:spPr>
                </pic:pic>
              </a:graphicData>
            </a:graphic>
          </wp:inline>
        </w:drawing>
      </w:r>
    </w:p>
    <w:p w14:paraId="637065FB" w14:textId="77777777" w:rsidR="00620ECC" w:rsidRDefault="00620ECC">
      <w:pPr>
        <w:spacing w:after="300"/>
      </w:pPr>
    </w:p>
    <w:p w14:paraId="3AA0EE17" w14:textId="43E31AA6" w:rsidR="00ED517D" w:rsidRDefault="00ED517D">
      <w:pPr>
        <w:pBdr>
          <w:bottom w:val="single" w:sz="6" w:space="1" w:color="C0A020"/>
        </w:pBdr>
        <w:spacing w:before="400" w:after="200"/>
        <w:rPr>
          <w:b/>
          <w:bCs/>
          <w:color w:val="C0A020"/>
          <w:sz w:val="36"/>
          <w:szCs w:val="36"/>
        </w:rPr>
      </w:pPr>
      <w:r>
        <w:rPr>
          <w:b/>
          <w:bCs/>
          <w:noProof/>
          <w:color w:val="C0A020"/>
          <w:sz w:val="36"/>
          <w:szCs w:val="36"/>
        </w:rPr>
        <w:lastRenderedPageBreak/>
        <w:drawing>
          <wp:inline distT="0" distB="0" distL="0" distR="0" wp14:anchorId="7A822A58" wp14:editId="1EC6AC6A">
            <wp:extent cx="6400800" cy="3230245"/>
            <wp:effectExtent l="0" t="0" r="0" b="8255"/>
            <wp:docPr id="695167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67958" name="Picture 6951679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00800" cy="3230245"/>
                    </a:xfrm>
                    <a:prstGeom prst="rect">
                      <a:avLst/>
                    </a:prstGeom>
                  </pic:spPr>
                </pic:pic>
              </a:graphicData>
            </a:graphic>
          </wp:inline>
        </w:drawing>
      </w:r>
    </w:p>
    <w:p w14:paraId="637065FC" w14:textId="3801DDA6" w:rsidR="00620ECC" w:rsidRDefault="00750602">
      <w:pPr>
        <w:pBdr>
          <w:bottom w:val="single" w:sz="6" w:space="1" w:color="C0A020"/>
        </w:pBdr>
        <w:spacing w:before="400" w:after="200"/>
      </w:pPr>
      <w:r>
        <w:rPr>
          <w:b/>
          <w:bCs/>
          <w:color w:val="C0A020"/>
          <w:sz w:val="36"/>
          <w:szCs w:val="36"/>
        </w:rPr>
        <w:t>✅ Recommendations &amp; Business Insights</w:t>
      </w:r>
    </w:p>
    <w:p w14:paraId="637065FD" w14:textId="77777777" w:rsidR="00620ECC" w:rsidRDefault="00750602">
      <w:pPr>
        <w:spacing w:before="300" w:after="150"/>
      </w:pPr>
      <w:r>
        <w:rPr>
          <w:b/>
          <w:bCs/>
          <w:color w:val="1F3864"/>
          <w:sz w:val="28"/>
          <w:szCs w:val="28"/>
        </w:rPr>
        <w:t>📌 For Investors</w:t>
      </w:r>
    </w:p>
    <w:p w14:paraId="637065FE" w14:textId="77777777" w:rsidR="00620ECC" w:rsidRDefault="00750602">
      <w:pPr>
        <w:pStyle w:val="ListParagraph"/>
        <w:numPr>
          <w:ilvl w:val="0"/>
          <w:numId w:val="2"/>
        </w:numPr>
        <w:spacing w:before="60" w:after="60"/>
      </w:pPr>
      <w:r>
        <w:t>Gold has proven to be an excellent long-term store of value with +218.6% return over 6 years.</w:t>
      </w:r>
    </w:p>
    <w:p w14:paraId="637065FF" w14:textId="77777777" w:rsidR="00620ECC" w:rsidRDefault="00750602">
      <w:pPr>
        <w:pStyle w:val="ListParagraph"/>
        <w:numPr>
          <w:ilvl w:val="0"/>
          <w:numId w:val="2"/>
        </w:numPr>
        <w:spacing w:before="60" w:after="60"/>
      </w:pPr>
      <w:r>
        <w:t>Buy during COVID-like crash periods (High Volatility + Bearish trend) for maximum upside potential.</w:t>
      </w:r>
    </w:p>
    <w:p w14:paraId="63706600" w14:textId="77777777" w:rsidR="00620ECC" w:rsidRDefault="00750602">
      <w:pPr>
        <w:pStyle w:val="ListParagraph"/>
        <w:numPr>
          <w:ilvl w:val="0"/>
          <w:numId w:val="2"/>
        </w:numPr>
        <w:spacing w:before="60" w:after="60"/>
      </w:pPr>
      <w:r>
        <w:t>Monitor the USD Index — a falling USD is typically a strong buy signal for gold.</w:t>
      </w:r>
    </w:p>
    <w:p w14:paraId="63706601" w14:textId="77777777" w:rsidR="00620ECC" w:rsidRDefault="00750602">
      <w:pPr>
        <w:spacing w:before="300" w:after="150"/>
      </w:pPr>
      <w:r>
        <w:rPr>
          <w:b/>
          <w:bCs/>
          <w:color w:val="1F3864"/>
          <w:sz w:val="28"/>
          <w:szCs w:val="28"/>
        </w:rPr>
        <w:t>📌 For Analysts</w:t>
      </w:r>
    </w:p>
    <w:p w14:paraId="63706602" w14:textId="77777777" w:rsidR="00620ECC" w:rsidRDefault="00750602">
      <w:pPr>
        <w:pStyle w:val="ListParagraph"/>
        <w:numPr>
          <w:ilvl w:val="0"/>
          <w:numId w:val="2"/>
        </w:numPr>
        <w:spacing w:before="60" w:after="60"/>
      </w:pPr>
      <w:r>
        <w:t>The 0.80 positive correlation between Gold and USD suggests Safe-Haven demand dominates over the inverse relationship in this period.</w:t>
      </w:r>
    </w:p>
    <w:p w14:paraId="63706603" w14:textId="77777777" w:rsidR="00620ECC" w:rsidRDefault="00750602">
      <w:pPr>
        <w:pStyle w:val="ListParagraph"/>
        <w:numPr>
          <w:ilvl w:val="0"/>
          <w:numId w:val="2"/>
        </w:numPr>
        <w:spacing w:before="60" w:after="60"/>
      </w:pPr>
      <w:r>
        <w:t>Surge phase (723 days) shows that gold is now in a structural bull market — not just a temporary spike.</w:t>
      </w:r>
    </w:p>
    <w:p w14:paraId="63706604" w14:textId="77777777" w:rsidR="00620ECC" w:rsidRDefault="00750602">
      <w:pPr>
        <w:pStyle w:val="ListParagraph"/>
        <w:numPr>
          <w:ilvl w:val="0"/>
          <w:numId w:val="2"/>
        </w:numPr>
        <w:spacing w:before="60" w:after="60"/>
      </w:pPr>
      <w:r>
        <w:t>High Volatility days (540) cluster around COVID and post-2024 Surge — monitor these periods for trading opportunities.</w:t>
      </w:r>
    </w:p>
    <w:p w14:paraId="63706605" w14:textId="77777777" w:rsidR="00620ECC" w:rsidRDefault="00750602">
      <w:pPr>
        <w:spacing w:before="300" w:after="150"/>
      </w:pPr>
      <w:r>
        <w:rPr>
          <w:b/>
          <w:bCs/>
          <w:color w:val="1F3864"/>
          <w:sz w:val="28"/>
          <w:szCs w:val="28"/>
        </w:rPr>
        <w:t>📌 For Dashboard Presentation</w:t>
      </w:r>
    </w:p>
    <w:p w14:paraId="63706606" w14:textId="77777777" w:rsidR="00620ECC" w:rsidRDefault="00750602">
      <w:pPr>
        <w:pStyle w:val="ListParagraph"/>
        <w:numPr>
          <w:ilvl w:val="0"/>
          <w:numId w:val="2"/>
        </w:numPr>
        <w:spacing w:before="60" w:after="60"/>
      </w:pPr>
      <w:r>
        <w:t>Fix the Year slicer to end at 2025 to avoid 2026 partial-year distortion in charts.</w:t>
      </w:r>
    </w:p>
    <w:p w14:paraId="63706607" w14:textId="77777777" w:rsidR="00620ECC" w:rsidRDefault="00750602">
      <w:pPr>
        <w:pStyle w:val="ListParagraph"/>
        <w:numPr>
          <w:ilvl w:val="0"/>
          <w:numId w:val="2"/>
        </w:numPr>
        <w:spacing w:before="60" w:after="60"/>
      </w:pPr>
      <w:r>
        <w:t>The ATL label should read 'Mar 2020' not 'Jan 2020' — update the text box accordingly.</w:t>
      </w:r>
    </w:p>
    <w:p w14:paraId="63706608" w14:textId="77777777" w:rsidR="00620ECC" w:rsidRDefault="00750602">
      <w:pPr>
        <w:pStyle w:val="ListParagraph"/>
        <w:numPr>
          <w:ilvl w:val="0"/>
          <w:numId w:val="2"/>
        </w:numPr>
        <w:spacing w:before="60" w:after="60"/>
      </w:pPr>
      <w:r>
        <w:t>Consider adding a real-time USD Index ticker widget for live monitoring in future versions.</w:t>
      </w:r>
    </w:p>
    <w:p w14:paraId="63706609" w14:textId="77777777" w:rsidR="00620ECC" w:rsidRDefault="00620ECC">
      <w:pPr>
        <w:spacing w:after="300"/>
      </w:pPr>
    </w:p>
    <w:p w14:paraId="6370660A" w14:textId="77777777" w:rsidR="00620ECC" w:rsidRDefault="00750602">
      <w:pPr>
        <w:pBdr>
          <w:bottom w:val="single" w:sz="6" w:space="1" w:color="C0A020"/>
        </w:pBdr>
        <w:spacing w:before="400" w:after="200"/>
      </w:pPr>
      <w:r>
        <w:rPr>
          <w:b/>
          <w:bCs/>
          <w:color w:val="C0A020"/>
          <w:sz w:val="36"/>
          <w:szCs w:val="36"/>
        </w:rPr>
        <w:t>📝 Conclusion</w:t>
      </w:r>
    </w:p>
    <w:p w14:paraId="6370660B" w14:textId="77777777" w:rsidR="00620ECC" w:rsidRDefault="00750602">
      <w:pPr>
        <w:spacing w:before="80" w:after="80"/>
      </w:pPr>
      <w:r>
        <w:lastRenderedPageBreak/>
        <w:t xml:space="preserve">This Gold Price Analysis Dashboard successfully demonstrates the powerful relationship between gold prices and the US Dollar Index across major economic cycles. From the COVID crash lows of 2020 to the all-time highs of 2026, the analysis captures the full spectrum of gold market </w:t>
      </w:r>
      <w:proofErr w:type="spellStart"/>
      <w:r>
        <w:t>behavior</w:t>
      </w:r>
      <w:proofErr w:type="spellEnd"/>
      <w:r>
        <w:t xml:space="preserve"> including panic selling, recovery, inflation-driven rallies, and the current Surge phase.</w:t>
      </w:r>
    </w:p>
    <w:p w14:paraId="6370660C" w14:textId="77777777" w:rsidR="00620ECC" w:rsidRDefault="00620ECC">
      <w:pPr>
        <w:spacing w:before="80" w:after="80"/>
      </w:pPr>
    </w:p>
    <w:p w14:paraId="6370660D" w14:textId="77777777" w:rsidR="00620ECC" w:rsidRDefault="00750602">
      <w:pPr>
        <w:spacing w:before="80" w:after="80"/>
      </w:pPr>
      <w:r>
        <w:t>The key takeaway is that gold remains the world's premier safe-haven asset, consistently rewarding long-term holders while responding dynamically to USD movements, Federal Reserve policy, and global geopolitical events. With a +218.6% return over the study period and prices still in an active Surge phase, gold continues to demonstrate its enduring value as both an investment and a financial analysis subject.</w:t>
      </w:r>
    </w:p>
    <w:p w14:paraId="6370660E" w14:textId="77777777" w:rsidR="00620ECC" w:rsidRDefault="00750602">
      <w:pPr>
        <w:pBdr>
          <w:top w:val="single" w:sz="6" w:space="1" w:color="C0A020"/>
        </w:pBdr>
        <w:spacing w:before="400"/>
        <w:jc w:val="center"/>
      </w:pPr>
      <w:r>
        <w:rPr>
          <w:i/>
          <w:iCs/>
          <w:color w:val="999999"/>
          <w:sz w:val="18"/>
          <w:szCs w:val="18"/>
        </w:rPr>
        <w:t>🥇 Gold Price Analysis | Yahoo Finance (2020–2026) | Power BI Dashboard Project</w:t>
      </w:r>
    </w:p>
    <w:sectPr w:rsidR="00620EC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A2EA5"/>
    <w:multiLevelType w:val="hybridMultilevel"/>
    <w:tmpl w:val="69A44D32"/>
    <w:lvl w:ilvl="0" w:tplc="05C81542">
      <w:start w:val="1"/>
      <w:numFmt w:val="bullet"/>
      <w:lvlText w:val="•"/>
      <w:lvlJc w:val="left"/>
      <w:pPr>
        <w:ind w:left="720" w:hanging="360"/>
      </w:pPr>
    </w:lvl>
    <w:lvl w:ilvl="1" w:tplc="060C55D8">
      <w:numFmt w:val="decimal"/>
      <w:lvlText w:val=""/>
      <w:lvlJc w:val="left"/>
    </w:lvl>
    <w:lvl w:ilvl="2" w:tplc="8F52A5A4">
      <w:numFmt w:val="decimal"/>
      <w:lvlText w:val=""/>
      <w:lvlJc w:val="left"/>
    </w:lvl>
    <w:lvl w:ilvl="3" w:tplc="1B3C3C74">
      <w:numFmt w:val="decimal"/>
      <w:lvlText w:val=""/>
      <w:lvlJc w:val="left"/>
    </w:lvl>
    <w:lvl w:ilvl="4" w:tplc="76CE38F6">
      <w:numFmt w:val="decimal"/>
      <w:lvlText w:val=""/>
      <w:lvlJc w:val="left"/>
    </w:lvl>
    <w:lvl w:ilvl="5" w:tplc="843A1B38">
      <w:numFmt w:val="decimal"/>
      <w:lvlText w:val=""/>
      <w:lvlJc w:val="left"/>
    </w:lvl>
    <w:lvl w:ilvl="6" w:tplc="8F424110">
      <w:numFmt w:val="decimal"/>
      <w:lvlText w:val=""/>
      <w:lvlJc w:val="left"/>
    </w:lvl>
    <w:lvl w:ilvl="7" w:tplc="55C4A1B8">
      <w:numFmt w:val="decimal"/>
      <w:lvlText w:val=""/>
      <w:lvlJc w:val="left"/>
    </w:lvl>
    <w:lvl w:ilvl="8" w:tplc="95623456">
      <w:numFmt w:val="decimal"/>
      <w:lvlText w:val=""/>
      <w:lvlJc w:val="left"/>
    </w:lvl>
  </w:abstractNum>
  <w:abstractNum w:abstractNumId="1" w15:restartNumberingAfterBreak="0">
    <w:nsid w:val="609C0A48"/>
    <w:multiLevelType w:val="hybridMultilevel"/>
    <w:tmpl w:val="51E04DF4"/>
    <w:lvl w:ilvl="0" w:tplc="EB7A3FDE">
      <w:start w:val="1"/>
      <w:numFmt w:val="decimal"/>
      <w:lvlText w:val="%1."/>
      <w:lvlJc w:val="left"/>
      <w:pPr>
        <w:ind w:left="720" w:hanging="360"/>
      </w:pPr>
    </w:lvl>
    <w:lvl w:ilvl="1" w:tplc="86226122">
      <w:numFmt w:val="decimal"/>
      <w:lvlText w:val=""/>
      <w:lvlJc w:val="left"/>
    </w:lvl>
    <w:lvl w:ilvl="2" w:tplc="BF7A3ADC">
      <w:numFmt w:val="decimal"/>
      <w:lvlText w:val=""/>
      <w:lvlJc w:val="left"/>
    </w:lvl>
    <w:lvl w:ilvl="3" w:tplc="88C0BCA4">
      <w:numFmt w:val="decimal"/>
      <w:lvlText w:val=""/>
      <w:lvlJc w:val="left"/>
    </w:lvl>
    <w:lvl w:ilvl="4" w:tplc="54FA4DDA">
      <w:numFmt w:val="decimal"/>
      <w:lvlText w:val=""/>
      <w:lvlJc w:val="left"/>
    </w:lvl>
    <w:lvl w:ilvl="5" w:tplc="3632A392">
      <w:numFmt w:val="decimal"/>
      <w:lvlText w:val=""/>
      <w:lvlJc w:val="left"/>
    </w:lvl>
    <w:lvl w:ilvl="6" w:tplc="9340943C">
      <w:numFmt w:val="decimal"/>
      <w:lvlText w:val=""/>
      <w:lvlJc w:val="left"/>
    </w:lvl>
    <w:lvl w:ilvl="7" w:tplc="488CA836">
      <w:numFmt w:val="decimal"/>
      <w:lvlText w:val=""/>
      <w:lvlJc w:val="left"/>
    </w:lvl>
    <w:lvl w:ilvl="8" w:tplc="9942E676">
      <w:numFmt w:val="decimal"/>
      <w:lvlText w:val=""/>
      <w:lvlJc w:val="left"/>
    </w:lvl>
  </w:abstractNum>
  <w:abstractNum w:abstractNumId="2" w15:restartNumberingAfterBreak="0">
    <w:nsid w:val="69E95F51"/>
    <w:multiLevelType w:val="hybridMultilevel"/>
    <w:tmpl w:val="DB4EF8B8"/>
    <w:lvl w:ilvl="0" w:tplc="508A227A">
      <w:start w:val="1"/>
      <w:numFmt w:val="bullet"/>
      <w:lvlText w:val="●"/>
      <w:lvlJc w:val="left"/>
      <w:pPr>
        <w:ind w:left="720" w:hanging="360"/>
      </w:pPr>
    </w:lvl>
    <w:lvl w:ilvl="1" w:tplc="FB626DB2">
      <w:start w:val="1"/>
      <w:numFmt w:val="bullet"/>
      <w:lvlText w:val="○"/>
      <w:lvlJc w:val="left"/>
      <w:pPr>
        <w:ind w:left="1440" w:hanging="360"/>
      </w:pPr>
    </w:lvl>
    <w:lvl w:ilvl="2" w:tplc="C1545B96">
      <w:start w:val="1"/>
      <w:numFmt w:val="bullet"/>
      <w:lvlText w:val="■"/>
      <w:lvlJc w:val="left"/>
      <w:pPr>
        <w:ind w:left="2160" w:hanging="360"/>
      </w:pPr>
    </w:lvl>
    <w:lvl w:ilvl="3" w:tplc="E8C43C94">
      <w:start w:val="1"/>
      <w:numFmt w:val="bullet"/>
      <w:lvlText w:val="●"/>
      <w:lvlJc w:val="left"/>
      <w:pPr>
        <w:ind w:left="2880" w:hanging="360"/>
      </w:pPr>
    </w:lvl>
    <w:lvl w:ilvl="4" w:tplc="7A9C1286">
      <w:start w:val="1"/>
      <w:numFmt w:val="bullet"/>
      <w:lvlText w:val="○"/>
      <w:lvlJc w:val="left"/>
      <w:pPr>
        <w:ind w:left="3600" w:hanging="360"/>
      </w:pPr>
    </w:lvl>
    <w:lvl w:ilvl="5" w:tplc="DAA46616">
      <w:start w:val="1"/>
      <w:numFmt w:val="bullet"/>
      <w:lvlText w:val="■"/>
      <w:lvlJc w:val="left"/>
      <w:pPr>
        <w:ind w:left="4320" w:hanging="360"/>
      </w:pPr>
    </w:lvl>
    <w:lvl w:ilvl="6" w:tplc="B45A6C68">
      <w:start w:val="1"/>
      <w:numFmt w:val="bullet"/>
      <w:lvlText w:val="●"/>
      <w:lvlJc w:val="left"/>
      <w:pPr>
        <w:ind w:left="5040" w:hanging="360"/>
      </w:pPr>
    </w:lvl>
    <w:lvl w:ilvl="7" w:tplc="4888FEEE">
      <w:start w:val="1"/>
      <w:numFmt w:val="bullet"/>
      <w:lvlText w:val="●"/>
      <w:lvlJc w:val="left"/>
      <w:pPr>
        <w:ind w:left="5760" w:hanging="360"/>
      </w:pPr>
    </w:lvl>
    <w:lvl w:ilvl="8" w:tplc="B28E5E0C">
      <w:start w:val="1"/>
      <w:numFmt w:val="bullet"/>
      <w:lvlText w:val="●"/>
      <w:lvlJc w:val="left"/>
      <w:pPr>
        <w:ind w:left="6480" w:hanging="360"/>
      </w:pPr>
    </w:lvl>
  </w:abstractNum>
  <w:num w:numId="1" w16cid:durableId="710113390">
    <w:abstractNumId w:val="2"/>
    <w:lvlOverride w:ilvl="0">
      <w:startOverride w:val="1"/>
    </w:lvlOverride>
  </w:num>
  <w:num w:numId="2" w16cid:durableId="688024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ECC"/>
    <w:rsid w:val="00122506"/>
    <w:rsid w:val="001642F5"/>
    <w:rsid w:val="005F0B86"/>
    <w:rsid w:val="00620ECC"/>
    <w:rsid w:val="00750602"/>
    <w:rsid w:val="00774DF3"/>
    <w:rsid w:val="0091259E"/>
    <w:rsid w:val="00B03CFD"/>
    <w:rsid w:val="00ED51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06548"/>
  <w15:docId w15:val="{420C3296-66A0-4CAD-8455-511657449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1145</Words>
  <Characters>6527</Characters>
  <Application>Microsoft Office Word</Application>
  <DocSecurity>0</DocSecurity>
  <Lines>54</Lines>
  <Paragraphs>15</Paragraphs>
  <ScaleCrop>false</ScaleCrop>
  <Company/>
  <LinksUpToDate>false</LinksUpToDate>
  <CharactersWithSpaces>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INDHIRA S</cp:lastModifiedBy>
  <cp:revision>6</cp:revision>
  <dcterms:created xsi:type="dcterms:W3CDTF">2026-04-22T07:06:00Z</dcterms:created>
  <dcterms:modified xsi:type="dcterms:W3CDTF">2026-04-21T19:33:00Z</dcterms:modified>
</cp:coreProperties>
</file>