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India Energy Stack — use-case overview template.</w:t>
      </w:r>
      <w:r>
        <w:t xml:space="preserve"> </w:t>
      </w:r>
      <w:r>
        <w:t xml:space="preserve">Use it to write the</w:t>
      </w:r>
      <w:r>
        <w:t xml:space="preserve"> </w:t>
      </w:r>
      <w:r>
        <w:rPr>
          <w:b/>
          <w:bCs/>
        </w:rPr>
        <w:t xml:space="preserve">concept note</w:t>
      </w:r>
      <w:r>
        <w:t xml:space="preserve"> </w:t>
      </w:r>
      <w:r>
        <w:t xml:space="preserve">that accompanies a schema proposal. Fill in the slots, share</w:t>
      </w:r>
      <w:r>
        <w:t xml:space="preserve"> </w:t>
      </w:r>
      <w:r>
        <w:t xml:space="preserve">the finished document as a public link (a Google Doc or OneDrive file anyone</w:t>
      </w:r>
      <w:r>
        <w:t xml:space="preserve"> </w:t>
      </w:r>
      <w:r>
        <w:t xml:space="preserve">with the link can view), and paste that link into the</w:t>
      </w:r>
      <w:r>
        <w:t xml:space="preserve"> </w:t>
      </w:r>
      <w:r>
        <w:rPr>
          <w:i/>
          <w:iCs/>
        </w:rPr>
        <w:t xml:space="preserve">Concept note (link)</w:t>
      </w:r>
      <w:r>
        <w:t xml:space="preserve"> </w:t>
      </w:r>
      <w:r>
        <w:t xml:space="preserve">field of the Propose a Schema form. The canonical version of this template is</w:t>
      </w:r>
      <w:r>
        <w:t xml:space="preserve"> </w:t>
      </w:r>
      <w:hyperlink r:id="rId9">
        <w:r>
          <w:rPr>
            <w:rStyle w:val="Hyperlink"/>
          </w:rPr>
          <w:t xml:space="preserve">on GitHub</w:t>
        </w:r>
      </w:hyperlink>
      <w:r>
        <w:t xml:space="preserve">; if the two</w:t>
      </w:r>
      <w:r>
        <w:t xml:space="preserve"> </w:t>
      </w:r>
      <w:r>
        <w:t xml:space="preserve">ever differ, GitHub wins.</w:t>
      </w:r>
    </w:p>
    <w:bookmarkStart w:id="29" w:name="use-case-name"/>
    <w:p>
      <w:pPr>
        <w:pStyle w:val="Heading1"/>
      </w:pPr>
      <w:r>
        <w:t xml:space="preserve">[Use case name]</w:t>
      </w:r>
    </w:p>
    <w:p>
      <w:pPr>
        <w:pStyle w:val="FirstParagraph"/>
      </w:pPr>
      <w:r>
        <w:rPr>
          <w:i/>
          <w:iCs/>
        </w:rPr>
        <w:t xml:space="preserve">[One-sentence summary in italics. What this use case lets someone do, and which schema carries it.]</w:t>
      </w:r>
    </w:p>
    <w:p>
      <w:pPr>
        <w:pStyle w:val="BodyText"/>
      </w:pPr>
      <w:r>
        <w:t xml:space="preserve">Link the implementation guide here, as a bold markdown link to</w:t>
      </w:r>
      <w:r>
        <w:t xml:space="preserve"> </w:t>
      </w:r>
      <w:r>
        <w:rPr>
          <w:rStyle w:val="VerbatimChar"/>
        </w:rPr>
        <w:t xml:space="preserve">../use-cases/[shortname]/README.md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[who this applies 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version</w:t>
            </w:r>
          </w:p>
        </w:tc>
        <w:tc>
          <w:tcPr/>
          <w:p>
            <w:pPr>
              <w:pStyle w:val="Compact"/>
            </w:pPr>
            <w:r>
              <w:t xml:space="preserve">[what this version covers, and what it does not]</w:t>
            </w:r>
          </w:p>
        </w:tc>
      </w:tr>
    </w:tbl>
    <w:p>
      <w:pPr>
        <w:pStyle w:val="BodyText"/>
      </w:pPr>
      <w:r>
        <w:t xml:space="preserve">Do not put a status claim in this table.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is the single source for whether anything is running; link it rather than restating it. While a page is under review, its state lives in the Decisions section below.</w:t>
      </w:r>
    </w:p>
    <w:p>
      <w:pPr>
        <w:pStyle w:val="BlockText"/>
      </w:pPr>
      <w:r>
        <w:rPr>
          <w:b/>
          <w:bCs/>
        </w:rPr>
        <w:t xml:space="preserve">Notation while drafting.</w:t>
      </w:r>
      <w:r>
        <w:t xml:space="preserve"> </w:t>
      </w:r>
      <w:r>
        <w:t xml:space="preserve">Square brackets are slots — replace them. Rows marked</w:t>
      </w:r>
      <w:r>
        <w:t xml:space="preserve"> </w:t>
      </w:r>
      <w:r>
        <w:rPr>
          <w:rStyle w:val="VerbatimChar"/>
        </w:rPr>
        <w:t xml:space="preserve">[EXAMPLE]</w:t>
      </w:r>
      <w:r>
        <w:t xml:space="preserve"> </w:t>
      </w:r>
      <w:r>
        <w:t xml:space="preserve">in italics are illustrations — delete them. No bracket should survive into a merged page except a deliberate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, and every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must appear in §11.</w:t>
      </w:r>
    </w:p>
    <w:p>
      <w:r>
        <w:pict>
          <v:rect style="width:0;height:1.5pt" o:hralign="center" o:hrstd="t" o:hr="t"/>
        </w:pict>
      </w:r>
    </w:p>
    <w:bookmarkStart w:id="10" w:name="decisions"/>
    <w:p>
      <w:pPr>
        <w:pStyle w:val="Heading2"/>
      </w:pPr>
      <w:r>
        <w:t xml:space="preserve">Decisions</w:t>
      </w:r>
    </w:p>
    <w:p>
      <w:pPr>
        <w:pStyle w:val="FirstParagraph"/>
      </w:pPr>
      <w:r>
        <w:rPr>
          <w:i/>
          <w:iCs/>
        </w:rPr>
        <w:t xml:space="preserve">While Status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Proposed</w:t>
      </w:r>
      <w:r>
        <w:rPr>
          <w:i/>
          <w:iCs/>
        </w:rPr>
        <w:t xml:space="preserve">, this section lists what reviewers are being asked to agree. On merge it becomes a dated record and stays on the page permanently. It is never deleted.</w:t>
      </w:r>
    </w:p>
    <w:p>
      <w:pPr>
        <w:pStyle w:val="BodyText"/>
      </w:pPr>
      <w:r>
        <w:rPr>
          <w:b/>
          <w:bCs/>
        </w:rPr>
        <w:t xml:space="preserve">Status of these decisions:</w:t>
      </w:r>
      <w:r>
        <w:t xml:space="preserve"> </w:t>
      </w:r>
      <w:r>
        <w:t xml:space="preserve">[Proposed — under review / Agreed on (date)]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[short name]</w:t>
            </w:r>
          </w:p>
        </w:tc>
        <w:tc>
          <w:tcPr/>
          <w:p>
            <w:pPr>
              <w:pStyle w:val="Compact"/>
            </w:pPr>
            <w:r>
              <w:t xml:space="preserve">[the decision in one or two sentences, stated as a recommendation]</w:t>
            </w:r>
          </w:p>
        </w:tc>
        <w:tc>
          <w:tcPr/>
          <w:p>
            <w:pPr>
              <w:pStyle w:val="Compact"/>
            </w:pPr>
            <w:r>
              <w:t xml:space="preserve">[Proposed / Agreed / Deferred to §11]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[EXAMPLE] After merge this reads:</w:t>
      </w:r>
      <w:r>
        <w:rPr>
          <w:i/>
          <w:iCs/>
        </w:rPr>
        <w:t xml:space="preserve"> </w:t>
      </w:r>
      <w:r>
        <w:rPr>
          <w:i/>
          <w:iCs/>
        </w:rPr>
        <w:t xml:space="preserve">“Agreed 14 April 2026 — A, B and C. Deferred — D, pending the cross-licensee settlement framework (§11.2).”</w:t>
      </w:r>
    </w:p>
    <w:p>
      <w:r>
        <w:pict>
          <v:rect style="width:0;height:1.5pt" o:hralign="center" o:hrstd="t" o:hr="t"/>
        </w:pict>
      </w:r>
    </w:p>
    <w:bookmarkEnd w:id="10"/>
    <w:bookmarkStart w:id="11" w:name="scope-and-purpose"/>
    <w:p>
      <w:pPr>
        <w:pStyle w:val="Heading2"/>
      </w:pPr>
      <w:r>
        <w:t xml:space="preserve">1. Scope and Purpose</w:t>
      </w:r>
    </w:p>
    <w:p>
      <w:pPr>
        <w:pStyle w:val="FirstParagraph"/>
      </w:pPr>
      <w:r>
        <w:t xml:space="preserve">[Who the stakeholders are, and the problem in plain words. Two or three paragraphs.]</w:t>
      </w:r>
    </w:p>
    <w:bookmarkEnd w:id="11"/>
    <w:bookmarkStart w:id="12" w:name="what-it-records-covers"/>
    <w:p>
      <w:pPr>
        <w:pStyle w:val="Heading2"/>
      </w:pPr>
      <w:r>
        <w:t xml:space="preserve">2. What It Records / Covers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[the thing recorded]</w:t>
            </w:r>
          </w:p>
        </w:tc>
        <w:tc>
          <w:tcPr/>
          <w:p>
            <w:pPr>
              <w:pStyle w:val="Compact"/>
            </w:pPr>
            <w:r>
              <w:t xml:space="preserve">[what it contains]</w:t>
            </w:r>
          </w:p>
        </w:tc>
        <w:tc>
          <w:tcPr/>
          <w:p>
            <w:pPr>
              <w:pStyle w:val="Compact"/>
            </w:pPr>
            <w:r>
              <w:t xml:space="preserve">[which schema and field carries it]</w:t>
            </w:r>
          </w:p>
        </w:tc>
      </w:tr>
    </w:tbl>
    <w:p>
      <w:pPr>
        <w:pStyle w:val="BodyText"/>
      </w:pPr>
      <w:r>
        <w:t xml:space="preserve">[Paragraph — what this record explicitly does not carry, and which use case carries that instead.]</w:t>
      </w:r>
    </w:p>
    <w:bookmarkEnd w:id="12"/>
    <w:bookmarkStart w:id="13" w:name="how-each-item-is-identified"/>
    <w:p>
      <w:pPr>
        <w:pStyle w:val="Heading2"/>
      </w:pPr>
      <w:r>
        <w:t xml:space="preserve">3. How Each Item is Identified</w:t>
      </w:r>
    </w:p>
    <w:p>
      <w:pPr>
        <w:pStyle w:val="FirstParagraph"/>
      </w:pPr>
      <w:r>
        <w:t xml:space="preserve">[How each subject is named. Use the identifier patterns IES already uses; do not invent a method.]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Identifier method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[subject]</w:t>
            </w:r>
          </w:p>
        </w:tc>
        <w:tc>
          <w:tcPr/>
          <w:p>
            <w:pPr>
              <w:pStyle w:val="Compact"/>
            </w:pPr>
            <w:r>
              <w:t xml:space="preserve">[method]</w:t>
            </w:r>
          </w:p>
        </w:tc>
        <w:tc>
          <w:tcPr/>
          <w:p>
            <w:pPr>
              <w:pStyle w:val="Compact"/>
            </w:pPr>
            <w:r>
              <w:t xml:space="preserve">[example identifier]</w:t>
            </w:r>
          </w:p>
        </w:tc>
      </w:tr>
    </w:tbl>
    <w:bookmarkEnd w:id="13"/>
    <w:bookmarkStart w:id="14" w:name="definitions"/>
    <w:p>
      <w:pPr>
        <w:pStyle w:val="Heading2"/>
      </w:pPr>
      <w:r>
        <w:t xml:space="preserve">4. Definitions</w:t>
      </w:r>
    </w:p>
    <w:p>
      <w:pPr>
        <w:pStyle w:val="FirstParagraph"/>
      </w:pPr>
      <w:r>
        <w:t xml:space="preserve">[Terms a reader might not know. Where IES already defines a term, use that definition and link to the glossary. Mark any genuinely new term as proposed for addition.]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[Term]</w:t>
      </w:r>
      <w:r>
        <w:t xml:space="preserve"> </w:t>
      </w:r>
      <w:r>
        <w:t xml:space="preserve">— [definition]. [Link to glossary, or</w:t>
      </w:r>
      <w:r>
        <w:t xml:space="preserve"> </w:t>
      </w:r>
      <w:r>
        <w:t xml:space="preserve">“proposed addition to the glossary”</w:t>
      </w:r>
      <w:r>
        <w:t xml:space="preserve">.]</w:t>
      </w:r>
    </w:p>
    <w:bookmarkEnd w:id="14"/>
    <w:bookmarkStart w:id="15" w:name="basis-of-standards"/>
    <w:p>
      <w:pPr>
        <w:pStyle w:val="Heading2"/>
      </w:pPr>
      <w:r>
        <w:t xml:space="preserve">5. Basis of Standards</w:t>
      </w:r>
    </w:p>
    <w:p>
      <w:pPr>
        <w:pStyle w:val="FirstParagraph"/>
      </w:pPr>
      <w:r>
        <w:t xml:space="preserve">Order of preference:</w:t>
      </w:r>
      <w:r>
        <w:t xml:space="preserve"> </w:t>
      </w:r>
      <w:r>
        <w:rPr>
          <w:b/>
          <w:bCs/>
        </w:rPr>
        <w:t xml:space="preserve">IS → CEA Regulations / IEGC → IEC → IEEE</w:t>
      </w:r>
      <w:r>
        <w:t xml:space="preserve">. Where the governing instrument is regulatory rather than technical — a SERC tariff regulation, a commission procedure — name it and say so rather than forcing it into that 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 or regulation</w:t>
            </w:r>
          </w:p>
        </w:tc>
        <w:tc>
          <w:tcPr/>
          <w:p>
            <w:pPr>
              <w:pStyle w:val="Compact"/>
            </w:pPr>
            <w:r>
              <w:t xml:space="preserve">Role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[standard]</w:t>
            </w:r>
          </w:p>
        </w:tc>
        <w:tc>
          <w:tcPr/>
          <w:p>
            <w:pPr>
              <w:pStyle w:val="Compact"/>
            </w:pPr>
            <w:r>
              <w:t xml:space="preserve">[what it governs in this use case]</w:t>
            </w:r>
          </w:p>
        </w:tc>
      </w:tr>
    </w:tbl>
    <w:bookmarkEnd w:id="15"/>
    <w:bookmarkStart w:id="16" w:name="where-indian-standards-do-not-yet-exist"/>
    <w:p>
      <w:pPr>
        <w:pStyle w:val="Heading2"/>
      </w:pPr>
      <w:r>
        <w:t xml:space="preserve">6. Where Indian Standards Do Not Yet Exist</w:t>
      </w:r>
    </w:p>
    <w:p>
      <w:pPr>
        <w:pStyle w:val="FirstParagraph"/>
      </w:pPr>
      <w:r>
        <w:t xml:space="preserve">[Concepts with no IS, the international standard used instead, and which CEA limits are retained where CEA sets them.]</w:t>
      </w:r>
    </w:p>
    <w:bookmarkEnd w:id="16"/>
    <w:bookmarkStart w:id="17" w:name="the-records"/>
    <w:p>
      <w:pPr>
        <w:pStyle w:val="Heading2"/>
      </w:pPr>
      <w:r>
        <w:t xml:space="preserve">7. The Record(s)</w:t>
      </w:r>
    </w:p>
    <w:p>
      <w:pPr>
        <w:pStyle w:val="FirstParagraph"/>
      </w:pPr>
      <w:r>
        <w:t xml:space="preserve">[What this use case produces. If it produces more than one record, list them and say which Schedule each belongs to.]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 or II]</w:t>
            </w:r>
          </w:p>
        </w:tc>
        <w:tc>
          <w:tcPr/>
          <w:p>
            <w:pPr>
              <w:pStyle w:val="Compact"/>
            </w:pPr>
            <w:r>
              <w:t xml:space="preserve">[Stays the same / Gets revised / Keeps changing]</w:t>
            </w:r>
          </w:p>
        </w:tc>
        <w:tc>
          <w:tcPr/>
          <w:p>
            <w:pPr>
              <w:pStyle w:val="Compact"/>
            </w:pPr>
            <w:r>
              <w:t xml:space="preserve">[Executable today / Illustrative]</w:t>
            </w:r>
          </w:p>
        </w:tc>
      </w:tr>
    </w:tbl>
    <w:bookmarkEnd w:id="17"/>
    <w:bookmarkStart w:id="19" w:name="schedule-i-static-fields-of-the-record"/>
    <w:p>
      <w:pPr>
        <w:pStyle w:val="Heading2"/>
      </w:pPr>
      <w:r>
        <w:t xml:space="preserve">8. Schedule I — Static Fields of the [Record]</w:t>
      </w:r>
    </w:p>
    <w:p>
      <w:pPr>
        <w:pStyle w:val="FirstParagraph"/>
      </w:pPr>
      <w:r>
        <w:rPr>
          <w:i/>
          <w:iCs/>
        </w:rPr>
        <w:t xml:space="preserve">The fields whose value is fixed when the record is issued. They change only when a corrected record is issued.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Normative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Requires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rPr>
                <w:i/>
                <w:iCs/>
              </w:rPr>
              <w:t xml:space="preserve">(informative)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Guidance</w:t>
            </w:r>
            <w:r>
              <w:t xml:space="preserve"> </w:t>
            </w:r>
            <w:r>
              <w:rPr>
                <w:i/>
                <w:iCs/>
              </w:rPr>
              <w:t xml:space="preserve">(informative)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[real JSON path in the named schema]</w:t>
            </w:r>
          </w:p>
        </w:tc>
        <w:tc>
          <w:tcPr/>
          <w:p>
            <w:pPr>
              <w:pStyle w:val="Compact"/>
            </w:pPr>
            <w:r>
              <w:t xml:space="preserve">[expected format]</w:t>
            </w:r>
          </w:p>
        </w:tc>
        <w:tc>
          <w:tcPr/>
          <w:p>
            <w:pPr>
              <w:pStyle w:val="Compact"/>
            </w:pPr>
            <w:r>
              <w:t xml:space="preserve">[what the schema itself enforces]</w:t>
            </w:r>
          </w:p>
        </w:tc>
        <w:tc>
          <w:tcPr/>
          <w:p>
            <w:pPr>
              <w:pStyle w:val="Compact"/>
            </w:pPr>
            <w:r>
              <w:t xml:space="preserve">[governing standard]</w:t>
            </w:r>
          </w:p>
        </w:tc>
        <w:tc>
          <w:tcPr/>
          <w:p>
            <w:pPr>
              <w:pStyle w:val="Compact"/>
            </w:pPr>
            <w:r>
              <w:t xml:space="preserve">[whether issuers should populate it]</w:t>
            </w:r>
          </w:p>
        </w:tc>
      </w:tr>
    </w:tbl>
    <w:bookmarkStart w:id="18" w:name="x-example-and-validation"/>
    <w:p>
      <w:pPr>
        <w:pStyle w:val="Heading3"/>
      </w:pPr>
      <w:r>
        <w:t xml:space="preserve">8.x Example and Validation</w:t>
      </w:r>
    </w:p>
    <w:p>
      <w:pPr>
        <w:pStyle w:val="FirstParagraph"/>
      </w:pPr>
      <w:r>
        <w:t xml:space="preserve">[Link the worked example, and the commands that validate it structurally and semantically.]</w:t>
      </w:r>
    </w:p>
    <w:bookmarkEnd w:id="18"/>
    <w:bookmarkEnd w:id="19"/>
    <w:bookmarkStart w:id="20" w:name="schedule-ii-live-record-name"/>
    <w:p>
      <w:pPr>
        <w:pStyle w:val="Heading2"/>
      </w:pPr>
      <w:r>
        <w:t xml:space="preserve">9. Schedule II — [Live record name]</w:t>
      </w:r>
    </w:p>
    <w:p>
      <w:pPr>
        <w:pStyle w:val="FirstParagraph"/>
      </w:pPr>
      <w:r>
        <w:rPr>
          <w:i/>
          <w:iCs/>
        </w:rPr>
        <w:t xml:space="preserve">The fields that keep arriving after the record is issued. If this use case has none, write the section as below and say why.</w:t>
      </w:r>
    </w:p>
    <w:p>
      <w:pPr>
        <w:pStyle w:val="BodyText"/>
      </w:pPr>
      <w:r>
        <w:rPr>
          <w:b/>
          <w:bCs/>
        </w:rPr>
        <w:t xml:space="preserve">If there is no live half:</w:t>
      </w:r>
    </w:p>
    <w:p>
      <w:pPr>
        <w:pStyle w:val="BlockText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[This record carries no time-dependent data — every field in Schedule I is fixed at issuance.] Live data that references this record is exchanged under its own use case: [link them, and say which identifier joins them].</w:t>
      </w:r>
    </w:p>
    <w:p>
      <w:pPr>
        <w:pStyle w:val="FirstParagraph"/>
      </w:pPr>
      <w:r>
        <w:rPr>
          <w:b/>
          <w:bCs/>
        </w:rPr>
        <w:t xml:space="preserve">If there is a live half:</w:t>
      </w:r>
      <w:r>
        <w:t xml:space="preserve"> </w:t>
      </w:r>
      <w:r>
        <w:t xml:space="preserve">same table shape as Schedule I, plus the transport if it differs from the rest of the use case.</w:t>
      </w:r>
    </w:p>
    <w:p>
      <w:pPr>
        <w:pStyle w:val="BlockText"/>
      </w:pPr>
      <w:r>
        <w:t xml:space="preserve">The test is not whether a field carries a date. A yearly filing amount carries a year and is fixed the day it is filed. If you cannot name the point at which updates stop, it belongs here.</w:t>
      </w:r>
    </w:p>
    <w:bookmarkEnd w:id="20"/>
    <w:bookmarkStart w:id="21" w:name="how-it-fits-together"/>
    <w:p>
      <w:pPr>
        <w:pStyle w:val="Heading2"/>
      </w:pPr>
      <w:r>
        <w:t xml:space="preserve">10. How It Fits Together</w:t>
      </w:r>
    </w:p>
    <w:p>
      <w:pPr>
        <w:pStyle w:val="FirstParagraph"/>
      </w:pPr>
      <w:r>
        <w:t xml:space="preserve">[A diagram or short narrative. If this use case draws on more than one exchange, add a subsection naming the source and transport for each Schedule.]</w:t>
      </w:r>
    </w:p>
    <w:bookmarkEnd w:id="21"/>
    <w:bookmarkStart w:id="22" w:name="points-for-confirmation"/>
    <w:p>
      <w:pPr>
        <w:pStyle w:val="Heading2"/>
      </w:pPr>
      <w:r>
        <w:t xml:space="preserve">11. Points for Confirmation</w:t>
      </w:r>
    </w:p>
    <w:p>
      <w:pPr>
        <w:pStyle w:val="FirstParagraph"/>
      </w:pPr>
      <w:r>
        <w:t xml:space="preserve">[Genuinely open questions, numbered. Anything marked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elsewhere on the page appears here. Say which of these, if any, block the decisions above.]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[Question]</w:t>
      </w:r>
      <w:r>
        <w:t xml:space="preserve"> </w:t>
      </w:r>
      <w:r>
        <w:t xml:space="preserve">— [why it matters, who decides, and whether it blocks].</w:t>
      </w:r>
    </w:p>
    <w:p>
      <w:r>
        <w:pict>
          <v:rect style="width:0;height:1.5pt" o:hralign="center" o:hrstd="t" o:hr="t"/>
        </w:pict>
      </w:r>
    </w:p>
    <w:bookmarkEnd w:id="22"/>
    <w:bookmarkStart w:id="23" w:name="schemas-used-in-this-use-case"/>
    <w:p>
      <w:pPr>
        <w:pStyle w:val="Heading2"/>
      </w:pPr>
      <w:r>
        <w:t xml:space="preserve">Schemas Used in This Use Case</w:t>
      </w:r>
    </w:p>
    <w:p>
      <w:pPr>
        <w:pStyle w:val="FirstParagraph"/>
      </w:pPr>
      <w:r>
        <w:t xml:space="preserve">[Which schema carries which Schedule. Link the validated examples.]</w:t>
      </w:r>
    </w:p>
    <w:bookmarkEnd w:id="23"/>
    <w:bookmarkStart w:id="24" w:name="value-unlock"/>
    <w:p>
      <w:pPr>
        <w:pStyle w:val="Heading2"/>
      </w:pPr>
      <w:r>
        <w:t xml:space="preserve">Value Unlock</w:t>
      </w:r>
    </w:p>
    <w:p>
      <w:pPr>
        <w:pStyle w:val="FirstParagraph"/>
      </w:pPr>
      <w:r>
        <w:t xml:space="preserve">[What each party gains. Keep it factual; this is not a pitch — the pitch belongs in the change request.]</w:t>
      </w:r>
    </w:p>
    <w:p>
      <w:r>
        <w:pict>
          <v:rect style="width:0;height:1.5pt" o:hralign="center" o:hrstd="t" o:hr="t"/>
        </w:pict>
      </w:r>
    </w:p>
    <w:bookmarkEnd w:id="24"/>
    <w:bookmarkStart w:id="25" w:name="annexure-a-standards-referenced"/>
    <w:p>
      <w:pPr>
        <w:pStyle w:val="Heading2"/>
      </w:pPr>
      <w:r>
        <w:t xml:space="preserve">Annexure A — Standards Referenced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</w:tbl>
    <w:bookmarkEnd w:id="25"/>
    <w:bookmarkStart w:id="26" w:name="annexure-b-example-payloads"/>
    <w:p>
      <w:pPr>
        <w:pStyle w:val="Heading2"/>
      </w:pPr>
      <w:r>
        <w:t xml:space="preserve">Annexure B — Example Payloads</w:t>
      </w:r>
    </w:p>
    <w:p>
      <w:pPr>
        <w:pStyle w:val="FirstParagraph"/>
      </w:pPr>
      <w:r>
        <w:t xml:space="preserve">[Links to validated examples, one per Schedule.]</w:t>
      </w:r>
    </w:p>
    <w:bookmarkEnd w:id="26"/>
    <w:bookmarkStart w:id="27" w:name="annexure-c-json-schema"/>
    <w:p>
      <w:pPr>
        <w:pStyle w:val="Heading2"/>
      </w:pPr>
      <w:r>
        <w:t xml:space="preserve">Annexure C — JSON Schema</w:t>
      </w:r>
    </w:p>
    <w:p>
      <w:pPr>
        <w:pStyle w:val="FirstParagraph"/>
      </w:pPr>
      <w:r>
        <w:t xml:space="preserve">[Canonical schema, context and vocabulary locations.]</w:t>
      </w:r>
    </w:p>
    <w:bookmarkEnd w:id="27"/>
    <w:bookmarkStart w:id="28" w:name="annexure-d-derived-views"/>
    <w:p>
      <w:pPr>
        <w:pStyle w:val="Heading2"/>
      </w:pPr>
      <w:r>
        <w:t xml:space="preserve">Annexure D — Derived Views</w:t>
      </w:r>
    </w:p>
    <w:p>
      <w:pPr>
        <w:pStyle w:val="FirstParagraph"/>
      </w:pPr>
      <w:r>
        <w:rPr>
          <w:i/>
          <w:iCs/>
        </w:rPr>
        <w:t xml:space="preserve">Anything the receiving organisation computes for itself after it gets the data. Not exchanged, so it belongs in neither Schedule.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Derived view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Schema status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[which Schedule fields feed it]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[how to handle it]</w:t>
            </w:r>
          </w:p>
        </w:tc>
      </w:tr>
    </w:tbl>
    <w:bookmarkEnd w:id="28"/>
    <w:bookmarkEnd w:id="29"/>
    <w:sectPr>
      <w:footnotePr>
        <w:numRestart w:val="eachSect"/>
      </w:footnotePr>
      <w:pgSz w:h="15840" w:w="12240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0"/>
        <w:szCs w:val="20"/>
        <w:lang w:bidi="ar-SA" w:eastAsia="zh-CN" w:val="en-I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Calibr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Calibr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India-Energy-Stack/ies-accelerator/blob/main/.github/templates/use-case-over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India-Energy-Stack/ies-accelerator/blob/main/.github/templates/use-case-over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en-IN</dc:language>
  <cp:keywords/>
  <dcterms:created xsi:type="dcterms:W3CDTF">2026-10-01T04:41:45Z</dcterms:created>
  <dcterms:modified xsi:type="dcterms:W3CDTF">2026-10-01T04:41:45Z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