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before-you-propose-a-schema"/>
    <w:p>
      <w:pPr>
        <w:pStyle w:val="Heading1"/>
      </w:pPr>
      <w:r>
        <w:t xml:space="preserve">Before You Propose a Schema</w:t>
      </w:r>
    </w:p>
    <w:p>
      <w:pPr>
        <w:pStyle w:val="FirstParagraph"/>
      </w:pPr>
      <w:r>
        <w:rPr>
          <w:i/>
          <w:iCs/>
        </w:rPr>
        <w:t xml:space="preserve">Ten checks to run before you open the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Propose a Schema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form. Proposals that skip them are sent back before review starts — they cost you a review cycle and cost reviewers time that other proposals need.</w:t>
      </w:r>
    </w:p>
    <w:bookmarkStart w:id="12" w:name="check-it-doesnt-already-exist"/>
    <w:p>
      <w:pPr>
        <w:pStyle w:val="Heading2"/>
      </w:pPr>
      <w:r>
        <w:t xml:space="preserve">1. Check it doesn’t already exist</w:t>
      </w:r>
    </w:p>
    <w:p>
      <w:pPr>
        <w:pStyle w:val="FirstParagraph"/>
      </w:pPr>
      <w:r>
        <w:t xml:space="preserve">Search the</w:t>
      </w:r>
      <w:r>
        <w:t xml:space="preserve"> </w:t>
      </w:r>
      <w:hyperlink r:id="rId10">
        <w:r>
          <w:rPr>
            <w:rStyle w:val="Hyperlink"/>
          </w:rPr>
          <w:t xml:space="preserve">schema catalogue</w:t>
        </w:r>
      </w:hyperlink>
      <w:r>
        <w:t xml:space="preserve"> </w:t>
      </w:r>
      <w:r>
        <w:t xml:space="preserve">and the</w:t>
      </w:r>
      <w:r>
        <w:t xml:space="preserve"> </w:t>
      </w:r>
      <w:hyperlink r:id="rId11">
        <w:r>
          <w:rPr>
            <w:rStyle w:val="Hyperlink"/>
          </w:rPr>
          <w:t xml:space="preserve">term taxonomy</w:t>
        </w:r>
      </w:hyperlink>
      <w:r>
        <w:t xml:space="preserve"> </w:t>
      </w:r>
      <w:r>
        <w:t xml:space="preserve">first. If an existing family nearly fits, propose an</w:t>
      </w:r>
      <w:r>
        <w:t xml:space="preserve"> </w:t>
      </w:r>
      <w:r>
        <w:rPr>
          <w:b/>
          <w:bCs/>
        </w:rPr>
        <w:t xml:space="preserve">extension</w:t>
      </w:r>
      <w:r>
        <w:t xml:space="preserve"> </w:t>
      </w:r>
      <w:r>
        <w:t xml:space="preserve">to it (a new optional field or enum value is a minor version) rather than a parallel schema.</w:t>
      </w:r>
    </w:p>
    <w:bookmarkEnd w:id="12"/>
    <w:bookmarkStart w:id="14" w:name="study-the-ies-term-taxonomy"/>
    <w:p>
      <w:pPr>
        <w:pStyle w:val="Heading2"/>
      </w:pPr>
      <w:r>
        <w:t xml:space="preserve">2. Study the IES term taxonomy</w:t>
      </w:r>
    </w:p>
    <w:p>
      <w:pPr>
        <w:pStyle w:val="FirstParagraph"/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taxonomy</w:t>
        </w:r>
      </w:hyperlink>
      <w:r>
        <w:t xml:space="preserve"> </w:t>
      </w:r>
      <w:r>
        <w:t xml:space="preserve">lists every published term. For each field in your schema: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Same meaning as an existing term → use that term, spelled exactly as published.</w:t>
      </w:r>
      <w:r>
        <w:t xml:space="preserve"> </w:t>
      </w:r>
      <w:r>
        <w:t xml:space="preserve">Don’t rename it to match your system —</w:t>
      </w:r>
      <w:r>
        <w:t xml:space="preserve"> </w:t>
      </w:r>
      <w:r>
        <w:rPr>
          <w:rStyle w:val="VerbatimChar"/>
        </w:rPr>
        <w:t xml:space="preserve">customerNumber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ConsumerNo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CA_NUMBER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existing term fits → propose a new one</w:t>
      </w:r>
      <w:r>
        <w:t xml:space="preserve">, with a one-line definition, and say it is a proposed addition.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Concepts that aren’t fields</w:t>
      </w:r>
      <w:r>
        <w:t xml:space="preserve"> </w:t>
      </w:r>
      <w:r>
        <w:t xml:space="preserve">(DISCOM, DER, Beckn …) belong in the</w:t>
      </w:r>
      <w:r>
        <w:t xml:space="preserve"> </w:t>
      </w:r>
      <w:hyperlink r:id="rId13">
        <w:r>
          <w:rPr>
            <w:rStyle w:val="Hyperlink"/>
          </w:rPr>
          <w:t xml:space="preserve">Glossary</w:t>
        </w:r>
      </w:hyperlink>
      <w:r>
        <w:t xml:space="preserve">, not in your schema.</w:t>
      </w:r>
    </w:p>
    <w:p>
      <w:pPr>
        <w:pStyle w:val="FirstParagraph"/>
      </w:pPr>
      <w:r>
        <w:t xml:space="preserve">The form asks you to declare that you did this. Declare it only once you have.</w:t>
      </w:r>
    </w:p>
    <w:bookmarkEnd w:id="14"/>
    <w:bookmarkStart w:id="15" w:name="follow-ies-naming-conventions"/>
    <w:p>
      <w:pPr>
        <w:pStyle w:val="Heading2"/>
      </w:pPr>
      <w:r>
        <w:t xml:space="preserve">3. Follow IES naming conventions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Do</w:t>
            </w:r>
          </w:p>
        </w:tc>
        <w:tc>
          <w:tcPr/>
          <w:p>
            <w:pPr>
              <w:pStyle w:val="Compact"/>
            </w:pPr>
            <w:r>
              <w:t xml:space="preserve">Don’t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names are lowerCamelCase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billingCycleDay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BillingCycleDay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billing_cycle_day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names are UpperCamelCase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TelemetryMode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telemetry_mode_enum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Units travel with the value, not in the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sanctionedLoad: {value, unit}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sanctionedLoadKw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Dates and times are ISO 8601; currency is ISO 4217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2026-06-01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01-06-2026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Identifiers reuse IES patterns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did:web:…</w:t>
            </w:r>
            <w:r>
              <w:t xml:space="preserve">, MRID</w:t>
            </w:r>
          </w:p>
        </w:tc>
        <w:tc>
          <w:tcPr/>
          <w:p>
            <w:pPr>
              <w:pStyle w:val="Compact"/>
            </w:pPr>
            <w:r>
              <w:t xml:space="preserve">a new home-grown ID scheme</w:t>
            </w:r>
          </w:p>
        </w:tc>
      </w:tr>
    </w:tbl>
    <w:bookmarkEnd w:id="15"/>
    <w:bookmarkStart w:id="16" w:name="submit-a-data-model-not-an-api-dump"/>
    <w:p>
      <w:pPr>
        <w:pStyle w:val="Heading2"/>
      </w:pPr>
      <w:r>
        <w:t xml:space="preserve">4. Submit a data model, not an API dump</w:t>
      </w:r>
    </w:p>
    <w:p>
      <w:pPr>
        <w:pStyle w:val="FirstParagraph"/>
      </w:pPr>
      <w:r>
        <w:t xml:space="preserve">Describe the</w:t>
      </w:r>
      <w:r>
        <w:t xml:space="preserve"> </w:t>
      </w:r>
      <w:r>
        <w:rPr>
          <w:b/>
          <w:bCs/>
        </w:rPr>
        <w:t xml:space="preserve">record</w:t>
      </w:r>
      <w:r>
        <w:t xml:space="preserve"> </w:t>
      </w:r>
      <w:r>
        <w:t xml:space="preserve">that moves between parties: its fields, types and meaning. Leave out request/response wrappers, status codes, usernames, pagination and anything that only exists because of one vendor’s system. If your proposal is a copy of an existing API’s payload, it is not ready.</w:t>
      </w:r>
    </w:p>
    <w:bookmarkEnd w:id="16"/>
    <w:bookmarkStart w:id="17" w:name="use-a-schema-format-reviewers-can-read"/>
    <w:p>
      <w:pPr>
        <w:pStyle w:val="Heading2"/>
      </w:pPr>
      <w:r>
        <w:t xml:space="preserve">5. Use a schema format reviewers can read</w:t>
      </w:r>
    </w:p>
    <w:p>
      <w:pPr>
        <w:pStyle w:val="FirstParagraph"/>
      </w:pPr>
      <w:r>
        <w:t xml:space="preserve">Preferably</w:t>
      </w:r>
      <w:r>
        <w:t xml:space="preserve"> </w:t>
      </w:r>
      <w:r>
        <w:rPr>
          <w:b/>
          <w:bCs/>
        </w:rPr>
        <w:t xml:space="preserve">JSON Schema (Draft 2020-12)</w:t>
      </w:r>
      <w:r>
        <w:t xml:space="preserve"> </w:t>
      </w:r>
      <w:r>
        <w:t xml:space="preserve">— the format IES schemas are published in. A field table (name · type · required · definition · standard) is acceptable. Either way, include</w:t>
      </w:r>
      <w:r>
        <w:t xml:space="preserve"> </w:t>
      </w:r>
      <w:r>
        <w:rPr>
          <w:b/>
          <w:bCs/>
        </w:rPr>
        <w:t xml:space="preserve">one example payload</w:t>
      </w:r>
      <w:r>
        <w:t xml:space="preserve"> </w:t>
      </w:r>
      <w:r>
        <w:t xml:space="preserve">that matches it.</w:t>
      </w:r>
    </w:p>
    <w:bookmarkEnd w:id="17"/>
    <w:bookmarkStart w:id="18" w:name="name-the-standards-it-rests-on"/>
    <w:p>
      <w:pPr>
        <w:pStyle w:val="Heading2"/>
      </w:pPr>
      <w:r>
        <w:t xml:space="preserve">6. Name the standards it rests on</w:t>
      </w:r>
    </w:p>
    <w:p>
      <w:pPr>
        <w:pStyle w:val="FirstParagraph"/>
      </w:pPr>
      <w:r>
        <w:t xml:space="preserve">Order of preference:</w:t>
      </w:r>
      <w:r>
        <w:t xml:space="preserve"> </w:t>
      </w:r>
      <w:r>
        <w:rPr>
          <w:b/>
          <w:bCs/>
        </w:rPr>
        <w:t xml:space="preserve">IS → CEA Regulations / IEGC → IEC → IEEE</w:t>
      </w:r>
      <w:r>
        <w:t xml:space="preserve">. Where the governing instrument is a regulation (a SERC order, a commission procedure), name it.</w:t>
      </w:r>
      <w:r>
        <w:t xml:space="preserve"> </w:t>
      </w:r>
      <w:r>
        <w:t xml:space="preserve">“None”</w:t>
      </w:r>
      <w:r>
        <w:t xml:space="preserve"> </w:t>
      </w:r>
      <w:r>
        <w:t xml:space="preserve">is a valid answer only if you looked.</w:t>
      </w:r>
    </w:p>
    <w:bookmarkEnd w:id="18"/>
    <w:bookmarkStart w:id="20" w:name="pick-existing-or-new-use-case-honestly"/>
    <w:p>
      <w:pPr>
        <w:pStyle w:val="Heading2"/>
      </w:pPr>
      <w:r>
        <w:t xml:space="preserve">7. Pick</w:t>
      </w:r>
      <w:r>
        <w:t xml:space="preserve"> </w:t>
      </w:r>
      <w:r>
        <w:t xml:space="preserve">“existing”</w:t>
      </w:r>
      <w:r>
        <w:t xml:space="preserve"> </w:t>
      </w:r>
      <w:r>
        <w:t xml:space="preserve">or</w:t>
      </w:r>
      <w:r>
        <w:t xml:space="preserve"> </w:t>
      </w:r>
      <w:r>
        <w:t xml:space="preserve">“new”</w:t>
      </w:r>
      <w:r>
        <w:t xml:space="preserve"> </w:t>
      </w:r>
      <w:r>
        <w:t xml:space="preserve">use case honestly</w:t>
      </w:r>
    </w:p>
    <w:p>
      <w:pPr>
        <w:pStyle w:val="FirstParagraph"/>
      </w:pPr>
      <w:r>
        <w:t xml:space="preserve">“Existing”</w:t>
      </w:r>
      <w:r>
        <w:t xml:space="preserve"> </w:t>
      </w:r>
      <w:r>
        <w:t xml:space="preserve">means one of the published</w:t>
      </w:r>
      <w:r>
        <w:t xml:space="preserve"> </w:t>
      </w:r>
      <w:hyperlink r:id="rId19">
        <w:r>
          <w:rPr>
            <w:rStyle w:val="Hyperlink"/>
          </w:rPr>
          <w:t xml:space="preserve">use-case overviews</w:t>
        </w:r>
      </w:hyperlink>
      <w:r>
        <w:t xml:space="preserve">. Anything else is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— and needs the concept note below to explain it.</w:t>
      </w:r>
    </w:p>
    <w:bookmarkEnd w:id="20"/>
    <w:bookmarkStart w:id="23" w:name="write-the-concept-note-on-the-template"/>
    <w:p>
      <w:pPr>
        <w:pStyle w:val="Heading2"/>
      </w:pPr>
      <w:r>
        <w:t xml:space="preserve">8. Write the concept note on the template</w:t>
      </w:r>
    </w:p>
    <w:p>
      <w:pPr>
        <w:pStyle w:val="FirstParagraph"/>
      </w:pPr>
      <w:r>
        <w:t xml:space="preserve">Use the use-case overview template —</w:t>
      </w:r>
      <w:r>
        <w:t xml:space="preserve"> </w:t>
      </w:r>
      <w:hyperlink r:id="rId21">
        <w:r>
          <w:rPr>
            <w:rStyle w:val="Hyperlink"/>
          </w:rPr>
          <w:t xml:space="preserve">read it on GitHub</w:t>
        </w:r>
      </w:hyperlink>
      <w:r>
        <w:t xml:space="preserve"> </w:t>
      </w:r>
      <w:r>
        <w:t xml:space="preserve">or</w:t>
      </w:r>
      <w:r>
        <w:t xml:space="preserve"> </w:t>
      </w:r>
      <w:hyperlink r:id="rId22">
        <w:r>
          <w:rPr>
            <w:rStyle w:val="Hyperlink"/>
          </w:rPr>
          <w:t xml:space="preserve">download it as Word (.docx)</w:t>
        </w:r>
      </w:hyperlink>
      <w:r>
        <w:t xml:space="preserve">. Share it as a link anyone can view.</w:t>
      </w:r>
    </w:p>
    <w:bookmarkEnd w:id="23"/>
    <w:bookmarkStart w:id="24" w:name="one-proposal-per-use-case"/>
    <w:p>
      <w:pPr>
        <w:pStyle w:val="Heading2"/>
      </w:pPr>
      <w:r>
        <w:t xml:space="preserve">9. One proposal per use case</w:t>
      </w:r>
    </w:p>
    <w:p>
      <w:pPr>
        <w:pStyle w:val="FirstParagraph"/>
      </w:pPr>
      <w:r>
        <w:t xml:space="preserve">Related records for one use case go in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proposal. Twenty near-identical submissions are triaged as one, and slower.</w:t>
      </w:r>
    </w:p>
    <w:bookmarkEnd w:id="24"/>
    <w:bookmarkStart w:id="25" w:name="re-read-before-you-submit"/>
    <w:p>
      <w:pPr>
        <w:pStyle w:val="Heading2"/>
      </w:pPr>
      <w:r>
        <w:t xml:space="preserve">10. Re-read before you submit</w:t>
      </w:r>
    </w:p>
    <w:p>
      <w:pPr>
        <w:pStyle w:val="FirstParagraph"/>
      </w:pPr>
      <w:r>
        <w:t xml:space="preserve">Every field has a definition, every term was checked against the taxonomy, the example validates against the schema, and the concept-note link opens in a private browser window.</w:t>
      </w:r>
    </w:p>
    <w:bookmarkEnd w:id="25"/>
    <w:bookmarkEnd w:id="26"/>
    <w:sectPr>
      <w:footnotePr>
        <w:numRestart w:val="eachSect"/>
      </w:footnotePr>
      <w:pgSz w:h="15840" w:w="12240"/>
      <w:pgMar w:bottom="1080" w:footer="720" w:gutter="0" w:header="720" w:left="1080" w:right="1080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hAnsi="Calibri"/>
        <w:sz w:val="20"/>
        <w:szCs w:val="20"/>
        <w:lang w:bidi="ar-SA" w:eastAsia="zh-CN" w:val="en-I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6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="Calibri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="Calibri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="Calibr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="Calibri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0"/>
      <w:outlineLvl w:val="0"/>
    </w:pPr>
    <w:rPr>
      <w:rFonts w:ascii="Calibri" w:cs="Calibri" w:hAnsi="Calibr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40" w:before="100"/>
      <w:outlineLvl w:val="1"/>
    </w:pPr>
    <w:rPr>
      <w:rFonts w:ascii="Calibri" w:cs="Calibri" w:hAnsi="Calibri"/>
      <w:color w:themeColor="accent1" w:themeShade="BF" w:val="0F4761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="Calibr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="Calibr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="Calibr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="Calibr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="Calibr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="Calibr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="Calibr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="Calibri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="Calibri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="Calibr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="Calibr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="Calibr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="Calibr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="Calibr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="Calibr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="Calibr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github.com/India-Energy-Stack/ies-accelerator/blob/main/.github/templates/use-case-overview.md" TargetMode="External" /><Relationship Type="http://schemas.openxmlformats.org/officeDocument/2006/relationships/hyperlink" Id="rId13" Target="https://github.com/India-Energy-Stack/ies-accelerator/blob/main/glossary.md" TargetMode="External" /><Relationship Type="http://schemas.openxmlformats.org/officeDocument/2006/relationships/hyperlink" Id="rId10" Target="https://github.com/India-Energy-Stack/ies-accelerator/blob/main/schemas-ies/README.md" TargetMode="External" /><Relationship Type="http://schemas.openxmlformats.org/officeDocument/2006/relationships/hyperlink" Id="rId19" Target="https://github.com/India-Energy-Stack/ies-accelerator/blob/main/use-cases-overview/README.md" TargetMode="External" /><Relationship Type="http://schemas.openxmlformats.org/officeDocument/2006/relationships/hyperlink" Id="rId22" Target="https://github.com/India-Energy-Stack/ies-accelerator/raw/main/.github/templates/use-case-overview.docx" TargetMode="External" /><Relationship Type="http://schemas.openxmlformats.org/officeDocument/2006/relationships/hyperlink" Id="rId9" Target="https://india-energy-stack.gitbook.io/docs/propose-a-schema" TargetMode="External" /><Relationship Type="http://schemas.openxmlformats.org/officeDocument/2006/relationships/hyperlink" Id="rId11" Target="https://india-energy-stack.gitbook.io/docs/schemas/taxonom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India-Energy-Stack/ies-accelerator/blob/main/.github/templates/use-case-overview.md" TargetMode="External" /><Relationship Type="http://schemas.openxmlformats.org/officeDocument/2006/relationships/hyperlink" Id="rId13" Target="https://github.com/India-Energy-Stack/ies-accelerator/blob/main/glossary.md" TargetMode="External" /><Relationship Type="http://schemas.openxmlformats.org/officeDocument/2006/relationships/hyperlink" Id="rId10" Target="https://github.com/India-Energy-Stack/ies-accelerator/blob/main/schemas-ies/README.md" TargetMode="External" /><Relationship Type="http://schemas.openxmlformats.org/officeDocument/2006/relationships/hyperlink" Id="rId19" Target="https://github.com/India-Energy-Stack/ies-accelerator/blob/main/use-cases-overview/README.md" TargetMode="External" /><Relationship Type="http://schemas.openxmlformats.org/officeDocument/2006/relationships/hyperlink" Id="rId22" Target="https://github.com/India-Energy-Stack/ies-accelerator/raw/main/.github/templates/use-case-overview.docx" TargetMode="External" /><Relationship Type="http://schemas.openxmlformats.org/officeDocument/2006/relationships/hyperlink" Id="rId9" Target="https://india-energy-stack.gitbook.io/docs/propose-a-schema" TargetMode="External" /><Relationship Type="http://schemas.openxmlformats.org/officeDocument/2006/relationships/hyperlink" Id="rId11" Target="https://india-energy-stack.gitbook.io/docs/schemas/taxonom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en-IN</dc:language>
  <cp:keywords/>
  <dcterms:created xsi:type="dcterms:W3CDTF">2026-10-01T04:41:45Z</dcterms:created>
  <dcterms:modified xsi:type="dcterms:W3CDTF">2026-10-01T04:41:45Z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