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1C92B" w14:textId="77777777" w:rsidR="00D2744E" w:rsidRDefault="00000000">
      <w:pPr>
        <w:pStyle w:val="Heading1"/>
        <w:jc w:val="center"/>
        <w:rPr>
          <w:rFonts w:ascii="Google Sans" w:eastAsia="Google Sans" w:hAnsi="Google Sans" w:cs="Google Sans"/>
        </w:rPr>
      </w:pPr>
      <w:bookmarkStart w:id="0" w:name="_evidx83t54sc" w:colFirst="0" w:colLast="0"/>
      <w:bookmarkEnd w:id="0"/>
      <w:proofErr w:type="spellStart"/>
      <w:r>
        <w:rPr>
          <w:rFonts w:ascii="Google Sans" w:eastAsia="Google Sans" w:hAnsi="Google Sans" w:cs="Google Sans"/>
        </w:rPr>
        <w:t>Botium</w:t>
      </w:r>
      <w:proofErr w:type="spellEnd"/>
      <w:r>
        <w:rPr>
          <w:rFonts w:ascii="Google Sans" w:eastAsia="Google Sans" w:hAnsi="Google Sans" w:cs="Google Sans"/>
        </w:rPr>
        <w:t xml:space="preserve"> Toys: Scope, goals, and risk assessment report</w:t>
      </w:r>
    </w:p>
    <w:p w14:paraId="198F2D2C" w14:textId="77777777" w:rsidR="00D2744E" w:rsidRDefault="00000000">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rPr>
        <mc:AlternateContent>
          <mc:Choice Requires="wpg">
            <w:drawing>
              <wp:inline distT="114300" distB="114300" distL="114300" distR="114300" wp14:anchorId="01372428" wp14:editId="3B72C290">
                <wp:extent cx="5943600" cy="14118"/>
                <wp:effectExtent l="0" t="0" r="0" b="0"/>
                <wp:docPr id="1" name="Straight Arrow Connector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118"/>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p>
    <w:p w14:paraId="24C4AD75" w14:textId="77777777" w:rsidR="00D2744E" w:rsidRDefault="00000000">
      <w:pPr>
        <w:pStyle w:val="Heading2"/>
        <w:rPr>
          <w:rFonts w:ascii="Google Sans" w:eastAsia="Google Sans" w:hAnsi="Google Sans" w:cs="Google Sans"/>
          <w:b/>
          <w:color w:val="000000"/>
          <w:sz w:val="24"/>
          <w:szCs w:val="24"/>
        </w:rPr>
      </w:pPr>
      <w:bookmarkStart w:id="1" w:name="_kc2jqdd8nifa" w:colFirst="0" w:colLast="0"/>
      <w:bookmarkEnd w:id="1"/>
      <w:r>
        <w:rPr>
          <w:rFonts w:ascii="Google Sans" w:eastAsia="Google Sans" w:hAnsi="Google Sans" w:cs="Google Sans"/>
        </w:rPr>
        <w:t>Scope and goals of the audit</w:t>
      </w:r>
    </w:p>
    <w:p w14:paraId="283F1C06" w14:textId="77777777" w:rsidR="00D2744E" w:rsidRDefault="00000000">
      <w:pPr>
        <w:pStyle w:val="Subtitle"/>
        <w:rPr>
          <w:rFonts w:ascii="Google Sans" w:eastAsia="Google Sans" w:hAnsi="Google Sans" w:cs="Google Sans"/>
          <w:color w:val="000000"/>
          <w:sz w:val="24"/>
          <w:szCs w:val="24"/>
        </w:rPr>
      </w:pPr>
      <w:bookmarkStart w:id="2" w:name="_5amnjv9mhbsx" w:colFirst="0" w:colLast="0"/>
      <w:bookmarkEnd w:id="2"/>
      <w:r>
        <w:rPr>
          <w:rFonts w:ascii="Google Sans" w:eastAsia="Google Sans" w:hAnsi="Google Sans" w:cs="Google Sans"/>
          <w:b/>
          <w:color w:val="000000"/>
          <w:sz w:val="24"/>
          <w:szCs w:val="24"/>
        </w:rPr>
        <w:t xml:space="preserve">Scope: </w:t>
      </w:r>
      <w:r>
        <w:rPr>
          <w:rFonts w:ascii="Google Sans" w:eastAsia="Google Sans" w:hAnsi="Google Sans" w:cs="Google Sans"/>
          <w:color w:val="000000"/>
          <w:sz w:val="24"/>
          <w:szCs w:val="24"/>
        </w:rPr>
        <w:t xml:space="preserve">The scope is defined as the entire security program at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This means all assets need to be assessed alongside internal processes and procedures related to the implementation of controls and compliance best practices.</w:t>
      </w:r>
    </w:p>
    <w:p w14:paraId="1822E6B4" w14:textId="77777777" w:rsidR="00D2744E" w:rsidRDefault="00000000">
      <w:pPr>
        <w:pStyle w:val="Subtitle"/>
        <w:rPr>
          <w:rFonts w:ascii="Google Sans" w:eastAsia="Google Sans" w:hAnsi="Google Sans" w:cs="Google Sans"/>
          <w:color w:val="000000"/>
        </w:rPr>
      </w:pPr>
      <w:bookmarkStart w:id="3" w:name="_17mak1awllyh" w:colFirst="0" w:colLast="0"/>
      <w:bookmarkEnd w:id="3"/>
      <w:r>
        <w:rPr>
          <w:rFonts w:ascii="Google Sans" w:eastAsia="Google Sans" w:hAnsi="Google Sans" w:cs="Google Sans"/>
          <w:b/>
          <w:color w:val="000000"/>
          <w:sz w:val="24"/>
          <w:szCs w:val="24"/>
        </w:rPr>
        <w:t>Goals:</w:t>
      </w:r>
      <w:r>
        <w:rPr>
          <w:rFonts w:ascii="Google Sans" w:eastAsia="Google Sans" w:hAnsi="Google Sans" w:cs="Google Sans"/>
          <w:color w:val="000000"/>
          <w:sz w:val="24"/>
          <w:szCs w:val="24"/>
        </w:rPr>
        <w:t xml:space="preserve"> Assess existing assets and complete the controls and compliance checklist to determine which controls and compliance best practices need to be implemented to  improve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security posture.</w:t>
      </w:r>
    </w:p>
    <w:p w14:paraId="0DF936AC" w14:textId="77777777" w:rsidR="00D2744E" w:rsidRDefault="00000000">
      <w:pPr>
        <w:pStyle w:val="Heading2"/>
        <w:rPr>
          <w:rFonts w:ascii="Google Sans" w:eastAsia="Google Sans" w:hAnsi="Google Sans" w:cs="Google Sans"/>
        </w:rPr>
      </w:pPr>
      <w:bookmarkStart w:id="4" w:name="_jdudu6fs5rtm" w:colFirst="0" w:colLast="0"/>
      <w:bookmarkEnd w:id="4"/>
      <w:r>
        <w:rPr>
          <w:rFonts w:ascii="Google Sans" w:eastAsia="Google Sans" w:hAnsi="Google Sans" w:cs="Google Sans"/>
        </w:rPr>
        <w:t>Current assets</w:t>
      </w:r>
    </w:p>
    <w:p w14:paraId="2CB32F90" w14:textId="77777777" w:rsidR="00D2744E"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14:paraId="7134814C" w14:textId="77777777" w:rsidR="00D2744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On-premises equipment for in-office business needs  </w:t>
      </w:r>
    </w:p>
    <w:p w14:paraId="06514696" w14:textId="77777777" w:rsidR="00D2744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14:paraId="770D9346" w14:textId="77777777" w:rsidR="00D2744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Storefront products available for retail sale on site and online; stored in the company’s adjoining warehouse</w:t>
      </w:r>
    </w:p>
    <w:p w14:paraId="5ED7D9C4" w14:textId="77777777" w:rsidR="00D2744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14:paraId="19CA1F6E" w14:textId="77777777" w:rsidR="00D2744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Internet access</w:t>
      </w:r>
    </w:p>
    <w:p w14:paraId="7A246FA9" w14:textId="77777777" w:rsidR="00D2744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Internal network</w:t>
      </w:r>
    </w:p>
    <w:p w14:paraId="62DCA925" w14:textId="77777777" w:rsidR="00D2744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14:paraId="4651C8EF" w14:textId="77777777" w:rsidR="00D2744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monitoring </w:t>
      </w:r>
    </w:p>
    <w:p w14:paraId="4A964028" w14:textId="77777777" w:rsidR="00D2744E" w:rsidRDefault="00000000">
      <w:pPr>
        <w:pStyle w:val="Heading2"/>
        <w:rPr>
          <w:rFonts w:ascii="Google Sans" w:eastAsia="Google Sans" w:hAnsi="Google Sans" w:cs="Google Sans"/>
        </w:rPr>
      </w:pPr>
      <w:bookmarkStart w:id="5" w:name="_5i80k6dm51vy" w:colFirst="0" w:colLast="0"/>
      <w:bookmarkEnd w:id="5"/>
      <w:r>
        <w:rPr>
          <w:rFonts w:ascii="Google Sans" w:eastAsia="Google Sans" w:hAnsi="Google Sans" w:cs="Google Sans"/>
        </w:rPr>
        <w:lastRenderedPageBreak/>
        <w:t>Risk assessment</w:t>
      </w:r>
    </w:p>
    <w:p w14:paraId="01281561" w14:textId="77777777" w:rsidR="00D2744E" w:rsidRDefault="00000000">
      <w:pPr>
        <w:pStyle w:val="Heading3"/>
        <w:rPr>
          <w:rFonts w:ascii="Google Sans" w:eastAsia="Google Sans" w:hAnsi="Google Sans" w:cs="Google Sans"/>
        </w:rPr>
      </w:pPr>
      <w:bookmarkStart w:id="6" w:name="_tkycrv8qc7kh" w:colFirst="0" w:colLast="0"/>
      <w:bookmarkEnd w:id="6"/>
      <w:r>
        <w:rPr>
          <w:rFonts w:ascii="Google Sans" w:eastAsia="Google Sans" w:hAnsi="Google Sans" w:cs="Google Sans"/>
        </w:rPr>
        <w:t>Risk description</w:t>
      </w:r>
    </w:p>
    <w:p w14:paraId="79C8CB5A" w14:textId="77777777" w:rsidR="00D2744E" w:rsidRDefault="00000000">
      <w:pPr>
        <w:rPr>
          <w:rFonts w:ascii="Google Sans" w:eastAsia="Google Sans" w:hAnsi="Google Sans" w:cs="Google Sans"/>
        </w:rPr>
      </w:pPr>
      <w:r>
        <w:rPr>
          <w:rFonts w:ascii="Google Sans" w:eastAsia="Google Sans" w:hAnsi="Google Sans" w:cs="Google Sans"/>
          <w:sz w:val="24"/>
          <w:szCs w:val="24"/>
        </w:rPr>
        <w:t xml:space="preserve">Currently, there is inadequate management of assets. Additionally,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proper controls in place and may not be fully compliant with U.S. and international regulations and standards.</w:t>
      </w:r>
      <w:r>
        <w:rPr>
          <w:rFonts w:ascii="Google Sans" w:eastAsia="Google Sans" w:hAnsi="Google Sans" w:cs="Google Sans"/>
        </w:rPr>
        <w:t xml:space="preserve"> </w:t>
      </w:r>
    </w:p>
    <w:p w14:paraId="272E46D7" w14:textId="77777777" w:rsidR="00D2744E" w:rsidRDefault="00000000">
      <w:pPr>
        <w:pStyle w:val="Heading3"/>
        <w:rPr>
          <w:rFonts w:ascii="Google Sans" w:eastAsia="Google Sans" w:hAnsi="Google Sans" w:cs="Google Sans"/>
        </w:rPr>
      </w:pPr>
      <w:bookmarkStart w:id="7" w:name="_pepjp18yvpjs" w:colFirst="0" w:colLast="0"/>
      <w:bookmarkEnd w:id="7"/>
      <w:r>
        <w:rPr>
          <w:rFonts w:ascii="Google Sans" w:eastAsia="Google Sans" w:hAnsi="Google Sans" w:cs="Google Sans"/>
        </w:rPr>
        <w:t>Control best practices</w:t>
      </w:r>
    </w:p>
    <w:p w14:paraId="356070F6" w14:textId="77777777" w:rsidR="00D2744E"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first of the five functions of the NIST CSF is Identify.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will need to dedicate resources to identify assets so they can appropriately manage them. Additionally, they will need to classify existing assets and determine the impact of the loss of existing assets, including systems, on business continuity.</w:t>
      </w:r>
    </w:p>
    <w:p w14:paraId="4FDA5273" w14:textId="77777777" w:rsidR="00D2744E" w:rsidRDefault="00000000">
      <w:pPr>
        <w:pStyle w:val="Heading3"/>
        <w:rPr>
          <w:rFonts w:ascii="Google Sans" w:eastAsia="Google Sans" w:hAnsi="Google Sans" w:cs="Google Sans"/>
        </w:rPr>
      </w:pPr>
      <w:bookmarkStart w:id="8" w:name="_ghnlzhum2uiy" w:colFirst="0" w:colLast="0"/>
      <w:bookmarkEnd w:id="8"/>
      <w:r>
        <w:rPr>
          <w:rFonts w:ascii="Google Sans" w:eastAsia="Google Sans" w:hAnsi="Google Sans" w:cs="Google Sans"/>
        </w:rPr>
        <w:t>Risk score</w:t>
      </w:r>
    </w:p>
    <w:p w14:paraId="0599F1C1" w14:textId="77777777" w:rsidR="00D2744E" w:rsidRDefault="00000000">
      <w:pPr>
        <w:rPr>
          <w:rFonts w:ascii="Google Sans" w:eastAsia="Google Sans" w:hAnsi="Google Sans" w:cs="Google Sans"/>
          <w:sz w:val="24"/>
          <w:szCs w:val="24"/>
        </w:rPr>
      </w:pPr>
      <w:r>
        <w:rPr>
          <w:rFonts w:ascii="Google Sans" w:eastAsia="Google Sans" w:hAnsi="Google Sans" w:cs="Google Sans"/>
          <w:sz w:val="24"/>
          <w:szCs w:val="24"/>
        </w:rPr>
        <w:t>On a scale of 1 to 10, the risk score is 8, which is fairly high. This is due to a lack of controls and adherence to compliance best practices.</w:t>
      </w:r>
    </w:p>
    <w:p w14:paraId="7DDC22C5" w14:textId="77777777" w:rsidR="00D2744E" w:rsidRDefault="00000000">
      <w:pPr>
        <w:pStyle w:val="Heading3"/>
        <w:rPr>
          <w:rFonts w:ascii="Google Sans" w:eastAsia="Google Sans" w:hAnsi="Google Sans" w:cs="Google Sans"/>
        </w:rPr>
      </w:pPr>
      <w:bookmarkStart w:id="9" w:name="_kmpxjpzb7q2o" w:colFirst="0" w:colLast="0"/>
      <w:bookmarkEnd w:id="9"/>
      <w:r>
        <w:rPr>
          <w:rFonts w:ascii="Google Sans" w:eastAsia="Google Sans" w:hAnsi="Google Sans" w:cs="Google Sans"/>
        </w:rPr>
        <w:t>Additional comments</w:t>
      </w:r>
    </w:p>
    <w:p w14:paraId="012EDF79" w14:textId="77777777" w:rsidR="00D2744E"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potential impact from the loss of an asset is rated as medium, because the IT department does not know which assets would be at risk. The risk to assets or fines from governing bodies is high because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necessary controls in place and is not fully adhering to best practices related to compliance regulations that keep critical data private/secure. Review the following bullet points for specific details:</w:t>
      </w:r>
    </w:p>
    <w:p w14:paraId="7E3FDAD4" w14:textId="77777777" w:rsidR="00D2744E" w:rsidRDefault="00D2744E">
      <w:pPr>
        <w:rPr>
          <w:rFonts w:ascii="Google Sans" w:eastAsia="Google Sans" w:hAnsi="Google Sans" w:cs="Google Sans"/>
          <w:sz w:val="24"/>
          <w:szCs w:val="24"/>
          <w:highlight w:val="yellow"/>
        </w:rPr>
      </w:pPr>
    </w:p>
    <w:p w14:paraId="72BAE7DB" w14:textId="77777777" w:rsidR="00D2744E"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Currently, all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employees have access to internally stored data and may be able to access cardholder data and customers’ PII/SPII.</w:t>
      </w:r>
    </w:p>
    <w:p w14:paraId="075DB712" w14:textId="77777777" w:rsidR="00D2744E"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Encryption is not currently used to ensure confidentiality of customers’ credit card information that is accepted, processed, transmitted, and stored locally in the company’s internal database. </w:t>
      </w:r>
    </w:p>
    <w:p w14:paraId="3144E06B" w14:textId="77777777" w:rsidR="00D2744E"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Access controls pertaining to least privilege and separation of duties have not been implemented.</w:t>
      </w:r>
    </w:p>
    <w:p w14:paraId="3A622929" w14:textId="77777777" w:rsidR="00D2744E"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ensured availability and integrated controls to ensure data integrity.</w:t>
      </w:r>
    </w:p>
    <w:p w14:paraId="62D1DDE3" w14:textId="77777777" w:rsidR="00D2744E"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a firewall that blocks traffic based on an appropriately defined set of security rules.</w:t>
      </w:r>
    </w:p>
    <w:p w14:paraId="283A3F0F" w14:textId="77777777" w:rsidR="00D2744E"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Antivirus software is installed and monitored regularly by the IT department. </w:t>
      </w:r>
    </w:p>
    <w:p w14:paraId="5D91E403" w14:textId="77777777" w:rsidR="00D2744E"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The IT department has not installed an intrusion detection system (IDS).</w:t>
      </w:r>
    </w:p>
    <w:p w14:paraId="40E51E75" w14:textId="77777777" w:rsidR="00D2744E"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There are no disaster recovery plans currently in place, and the company does not have backups of critical data. </w:t>
      </w:r>
    </w:p>
    <w:p w14:paraId="30CE4067" w14:textId="77777777" w:rsidR="00D2744E"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14:paraId="73897759" w14:textId="77777777" w:rsidR="00D2744E"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Although a password policy exists, its requirements are nominal and not in line with current minimum password complexity requirements (e.g., at least eight characters, a combination of letters and at least one number; special characters). </w:t>
      </w:r>
    </w:p>
    <w:p w14:paraId="7BB4798E" w14:textId="77777777" w:rsidR="00D2744E"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no centralized password management system that enforces the password policy’s minimum requirements, which sometimes affects productivity when employees/vendors submit a ticket to the IT department to recover or reset a password.</w:t>
      </w:r>
    </w:p>
    <w:p w14:paraId="55A82FE6" w14:textId="77777777" w:rsidR="00D2744E"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While legacy systems are monitored and maintained, there is no regular schedule in place for these tasks and intervention methods are unclear.</w:t>
      </w:r>
    </w:p>
    <w:p w14:paraId="30427960" w14:textId="77777777" w:rsidR="00D2744E"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store’s physical location, which includes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main offices, store front, and warehouse of products, has sufficient locks, up-to-date closed-circuit television (CCTV) surveillance, as well as functioning fire detection and prevention systems.</w:t>
      </w:r>
    </w:p>
    <w:sectPr w:rsidR="00D2744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28EBF" w14:textId="77777777" w:rsidR="00B40FD6" w:rsidRDefault="00B40FD6">
      <w:pPr>
        <w:spacing w:line="240" w:lineRule="auto"/>
      </w:pPr>
      <w:r>
        <w:separator/>
      </w:r>
    </w:p>
  </w:endnote>
  <w:endnote w:type="continuationSeparator" w:id="0">
    <w:p w14:paraId="7D3985B8" w14:textId="77777777" w:rsidR="00B40FD6" w:rsidRDefault="00B40F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3D9CD" w14:textId="77777777" w:rsidR="00B40FD6" w:rsidRDefault="00B40FD6">
      <w:pPr>
        <w:spacing w:line="240" w:lineRule="auto"/>
      </w:pPr>
      <w:r>
        <w:separator/>
      </w:r>
    </w:p>
  </w:footnote>
  <w:footnote w:type="continuationSeparator" w:id="0">
    <w:p w14:paraId="0D8F1AA5" w14:textId="77777777" w:rsidR="00B40FD6" w:rsidRDefault="00B40F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1F39" w14:textId="77777777" w:rsidR="00D2744E" w:rsidRDefault="00D274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0D94"/>
    <w:multiLevelType w:val="multilevel"/>
    <w:tmpl w:val="1BF869E2"/>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3D4CB8"/>
    <w:multiLevelType w:val="multilevel"/>
    <w:tmpl w:val="F63AD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2766554">
    <w:abstractNumId w:val="1"/>
  </w:num>
  <w:num w:numId="2" w16cid:durableId="1847284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44E"/>
    <w:rsid w:val="00B40FD6"/>
    <w:rsid w:val="00CA2891"/>
    <w:rsid w:val="00D2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BE16D5"/>
  <w15:docId w15:val="{D30CC5C3-646F-464C-AC05-90CE677D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garvinindia@gmail.com</cp:lastModifiedBy>
  <cp:revision>2</cp:revision>
  <dcterms:created xsi:type="dcterms:W3CDTF">2024-02-09T16:52:00Z</dcterms:created>
  <dcterms:modified xsi:type="dcterms:W3CDTF">2024-02-09T16:52:00Z</dcterms:modified>
</cp:coreProperties>
</file>