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E34" w:rsidRDefault="009B1016" w:rsidP="00720C8B">
      <w:pPr>
        <w:rPr>
          <w:noProof/>
          <w:lang w:eastAsia="fr-FR"/>
        </w:rPr>
      </w:pPr>
      <w:r>
        <w:rPr>
          <w:noProof/>
          <w:lang w:eastAsia="fr-FR"/>
        </w:rPr>
        <w:drawing>
          <wp:anchor distT="0" distB="0" distL="114300" distR="114300" simplePos="0" relativeHeight="251658240" behindDoc="1" locked="0" layoutInCell="1" allowOverlap="1" wp14:anchorId="3027C665" wp14:editId="00F2DC99">
            <wp:simplePos x="0" y="0"/>
            <wp:positionH relativeFrom="column">
              <wp:posOffset>1396365</wp:posOffset>
            </wp:positionH>
            <wp:positionV relativeFrom="paragraph">
              <wp:posOffset>-678271</wp:posOffset>
            </wp:positionV>
            <wp:extent cx="859790" cy="16541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marque-SENUM_DINSIC.png"/>
                    <pic:cNvPicPr/>
                  </pic:nvPicPr>
                  <pic:blipFill rotWithShape="1">
                    <a:blip r:embed="rId9" cstate="print">
                      <a:extLst>
                        <a:ext uri="{28A0092B-C50C-407E-A947-70E740481C1C}">
                          <a14:useLocalDpi xmlns:a14="http://schemas.microsoft.com/office/drawing/2010/main" val="0"/>
                        </a:ext>
                      </a:extLst>
                    </a:blip>
                    <a:srcRect l="26146" t="12160" r="28434" b="22308"/>
                    <a:stretch/>
                  </pic:blipFill>
                  <pic:spPr bwMode="auto">
                    <a:xfrm>
                      <a:off x="0" y="0"/>
                      <a:ext cx="859790" cy="1654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1" allowOverlap="1" wp14:anchorId="00058D23" wp14:editId="700429FE">
            <wp:simplePos x="0" y="0"/>
            <wp:positionH relativeFrom="column">
              <wp:posOffset>2978150</wp:posOffset>
            </wp:positionH>
            <wp:positionV relativeFrom="paragraph">
              <wp:posOffset>-363946</wp:posOffset>
            </wp:positionV>
            <wp:extent cx="930910" cy="822960"/>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Logo_de_l'Assemblée_nationale_française.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0910" cy="822960"/>
                    </a:xfrm>
                    <a:prstGeom prst="rect">
                      <a:avLst/>
                    </a:prstGeom>
                  </pic:spPr>
                </pic:pic>
              </a:graphicData>
            </a:graphic>
            <wp14:sizeRelH relativeFrom="page">
              <wp14:pctWidth>0</wp14:pctWidth>
            </wp14:sizeRelH>
            <wp14:sizeRelV relativeFrom="page">
              <wp14:pctHeight>0</wp14:pctHeight>
            </wp14:sizeRelV>
          </wp:anchor>
        </w:drawing>
      </w:r>
    </w:p>
    <w:p w:rsidR="00014231" w:rsidRDefault="00014231" w:rsidP="00720C8B">
      <w:pPr>
        <w:rPr>
          <w:noProof/>
          <w:lang w:eastAsia="fr-FR"/>
        </w:rPr>
      </w:pPr>
    </w:p>
    <w:p w:rsidR="00736469" w:rsidRDefault="00736469" w:rsidP="00720C8B"/>
    <w:p w:rsidR="00736469" w:rsidRDefault="00736469" w:rsidP="00736469">
      <w:pPr>
        <w:pStyle w:val="En-tte"/>
        <w:jc w:val="right"/>
        <w:rPr>
          <w:i/>
          <w:color w:val="808080" w:themeColor="background1" w:themeShade="80"/>
        </w:rPr>
      </w:pPr>
      <w:r>
        <w:rPr>
          <w:i/>
          <w:color w:val="808080" w:themeColor="background1" w:themeShade="80"/>
        </w:rPr>
        <w:t>Paris, le 03/04</w:t>
      </w:r>
      <w:r w:rsidRPr="004F736E">
        <w:rPr>
          <w:i/>
          <w:color w:val="808080" w:themeColor="background1" w:themeShade="80"/>
        </w:rPr>
        <w:t>/2018</w:t>
      </w:r>
    </w:p>
    <w:p w:rsidR="00736469" w:rsidRDefault="00736469" w:rsidP="001121C1">
      <w:pPr>
        <w:spacing w:line="240" w:lineRule="auto"/>
        <w:jc w:val="center"/>
        <w:rPr>
          <w:b/>
          <w:sz w:val="28"/>
          <w:szCs w:val="28"/>
        </w:rPr>
      </w:pPr>
    </w:p>
    <w:p w:rsidR="00AC0C72" w:rsidRDefault="00877726" w:rsidP="0058239C">
      <w:pPr>
        <w:spacing w:line="240" w:lineRule="auto"/>
        <w:jc w:val="center"/>
        <w:rPr>
          <w:b/>
          <w:sz w:val="28"/>
          <w:szCs w:val="28"/>
        </w:rPr>
      </w:pPr>
      <w:r>
        <w:rPr>
          <w:b/>
          <w:sz w:val="28"/>
          <w:szCs w:val="28"/>
        </w:rPr>
        <w:t>Ouverture du Gouvernement et du Parlement</w:t>
      </w:r>
      <w:r w:rsidR="00660C18" w:rsidRPr="00A64001">
        <w:rPr>
          <w:b/>
          <w:sz w:val="28"/>
          <w:szCs w:val="28"/>
        </w:rPr>
        <w:t xml:space="preserve"> : </w:t>
      </w:r>
      <w:r w:rsidR="0058239C">
        <w:rPr>
          <w:b/>
          <w:sz w:val="28"/>
          <w:szCs w:val="28"/>
        </w:rPr>
        <w:br/>
      </w:r>
      <w:r w:rsidR="001121C1">
        <w:rPr>
          <w:b/>
          <w:sz w:val="28"/>
          <w:szCs w:val="28"/>
        </w:rPr>
        <w:t>la France</w:t>
      </w:r>
      <w:r w:rsidR="007E1BC1">
        <w:rPr>
          <w:b/>
          <w:sz w:val="28"/>
          <w:szCs w:val="28"/>
        </w:rPr>
        <w:t xml:space="preserve"> renouvelle son engagement pour une action publique transparente et collaborative</w:t>
      </w:r>
    </w:p>
    <w:p w:rsidR="00877726" w:rsidRPr="00002487" w:rsidRDefault="00877726" w:rsidP="00177007">
      <w:pPr>
        <w:spacing w:after="0"/>
        <w:jc w:val="both"/>
        <w:rPr>
          <w:b/>
          <w:sz w:val="16"/>
          <w:szCs w:val="16"/>
        </w:rPr>
      </w:pPr>
    </w:p>
    <w:tbl>
      <w:tblPr>
        <w:tblStyle w:val="Grilledutableau"/>
        <w:tblW w:w="0" w:type="auto"/>
        <w:tblLook w:val="04A0" w:firstRow="1" w:lastRow="0" w:firstColumn="1" w:lastColumn="0" w:noHBand="0" w:noVBand="1"/>
      </w:tblPr>
      <w:tblGrid>
        <w:gridCol w:w="9212"/>
      </w:tblGrid>
      <w:tr w:rsidR="00877726" w:rsidTr="00177007">
        <w:trPr>
          <w:trHeight w:val="1366"/>
        </w:trPr>
        <w:tc>
          <w:tcPr>
            <w:tcW w:w="9212" w:type="dxa"/>
            <w:vAlign w:val="center"/>
          </w:tcPr>
          <w:p w:rsidR="00877726" w:rsidRDefault="00C4295F" w:rsidP="000A254A">
            <w:pPr>
              <w:jc w:val="both"/>
            </w:pPr>
            <w:r w:rsidRPr="00AA7393">
              <w:rPr>
                <w:b/>
              </w:rPr>
              <w:t>D</w:t>
            </w:r>
            <w:r w:rsidR="000611D3">
              <w:rPr>
                <w:b/>
              </w:rPr>
              <w:t>ans le cadre du Partenariat pour un gouvernement</w:t>
            </w:r>
            <w:r w:rsidR="006568EA">
              <w:rPr>
                <w:b/>
              </w:rPr>
              <w:t xml:space="preserve"> ouvert (PGO),</w:t>
            </w:r>
            <w:r w:rsidR="000611D3">
              <w:rPr>
                <w:b/>
              </w:rPr>
              <w:t xml:space="preserve"> </w:t>
            </w:r>
            <w:r w:rsidR="00877726" w:rsidRPr="000A254A">
              <w:rPr>
                <w:b/>
              </w:rPr>
              <w:t>le</w:t>
            </w:r>
            <w:r w:rsidR="00877726" w:rsidRPr="00877726">
              <w:rPr>
                <w:b/>
              </w:rPr>
              <w:t xml:space="preserve"> Gouvernement et l’Assemblée nationale publient </w:t>
            </w:r>
            <w:r w:rsidR="00877726">
              <w:rPr>
                <w:b/>
              </w:rPr>
              <w:t>aujourd’hui</w:t>
            </w:r>
            <w:r w:rsidR="006568EA">
              <w:rPr>
                <w:b/>
              </w:rPr>
              <w:t>,</w:t>
            </w:r>
            <w:r w:rsidR="00877726" w:rsidRPr="00877726">
              <w:rPr>
                <w:b/>
              </w:rPr>
              <w:t xml:space="preserve"> </w:t>
            </w:r>
            <w:r w:rsidR="006568EA">
              <w:rPr>
                <w:b/>
              </w:rPr>
              <w:t>pour la première fois en commun,</w:t>
            </w:r>
            <w:r>
              <w:rPr>
                <w:b/>
              </w:rPr>
              <w:t xml:space="preserve"> </w:t>
            </w:r>
            <w:r w:rsidR="00877726" w:rsidRPr="00877726">
              <w:rPr>
                <w:b/>
              </w:rPr>
              <w:t xml:space="preserve">leurs plans </w:t>
            </w:r>
            <w:r w:rsidR="00877726" w:rsidRPr="000A254A">
              <w:rPr>
                <w:b/>
              </w:rPr>
              <w:t>d’action</w:t>
            </w:r>
            <w:r w:rsidR="006568EA">
              <w:rPr>
                <w:b/>
              </w:rPr>
              <w:t xml:space="preserve"> </w:t>
            </w:r>
            <w:r w:rsidR="00F43FB6">
              <w:t xml:space="preserve">respectifs </w:t>
            </w:r>
            <w:r w:rsidR="006568EA">
              <w:t>sur la période 2018-2020</w:t>
            </w:r>
            <w:r w:rsidR="00877726">
              <w:t xml:space="preserve">. </w:t>
            </w:r>
            <w:r w:rsidR="00877726" w:rsidRPr="00877726">
              <w:rPr>
                <w:b/>
              </w:rPr>
              <w:t>L’objectif est de faire progresser la transparence de l’action publique</w:t>
            </w:r>
            <w:r w:rsidR="00932121">
              <w:rPr>
                <w:b/>
              </w:rPr>
              <w:t>, l’innovation ouverte</w:t>
            </w:r>
            <w:r w:rsidR="00877726" w:rsidRPr="00877726">
              <w:rPr>
                <w:b/>
              </w:rPr>
              <w:t xml:space="preserve"> et la participation citoyenne</w:t>
            </w:r>
            <w:r w:rsidR="00877726">
              <w:t xml:space="preserve"> en engageant les institutions à des démarches d’ouverture et d’innovation.</w:t>
            </w:r>
            <w:r w:rsidR="00DA7E34">
              <w:t xml:space="preserve"> </w:t>
            </w:r>
          </w:p>
        </w:tc>
      </w:tr>
    </w:tbl>
    <w:p w:rsidR="00F43FB6" w:rsidRPr="000A254A" w:rsidRDefault="00F43FB6" w:rsidP="009B1016">
      <w:pPr>
        <w:spacing w:before="240"/>
        <w:jc w:val="both"/>
        <w:rPr>
          <w:b/>
          <w:u w:val="single"/>
        </w:rPr>
      </w:pPr>
      <w:r w:rsidRPr="000A254A">
        <w:rPr>
          <w:b/>
          <w:u w:val="single"/>
        </w:rPr>
        <w:t xml:space="preserve">La transformation numérique de l’Etat et la participation citoyenne au cœur de la politique française </w:t>
      </w:r>
      <w:r w:rsidR="000611D3" w:rsidRPr="000A254A">
        <w:rPr>
          <w:b/>
          <w:u w:val="single"/>
        </w:rPr>
        <w:t xml:space="preserve">pour un </w:t>
      </w:r>
      <w:r w:rsidRPr="000A254A">
        <w:rPr>
          <w:b/>
          <w:u w:val="single"/>
        </w:rPr>
        <w:t>gouvernement ouvert</w:t>
      </w:r>
    </w:p>
    <w:p w:rsidR="00D1488C" w:rsidRDefault="00F458E6" w:rsidP="00165593">
      <w:pPr>
        <w:spacing w:after="120"/>
        <w:jc w:val="both"/>
        <w:rPr>
          <w:b/>
        </w:rPr>
      </w:pPr>
      <w:r>
        <w:t>C</w:t>
      </w:r>
      <w:r w:rsidRPr="009D49EC">
        <w:t>o-construit avec la société civile</w:t>
      </w:r>
      <w:r>
        <w:t xml:space="preserve"> pendant plusieurs mois</w:t>
      </w:r>
      <w:r w:rsidRPr="00C716EF">
        <w:rPr>
          <w:bCs/>
        </w:rPr>
        <w:t>,</w:t>
      </w:r>
      <w:r>
        <w:rPr>
          <w:b/>
        </w:rPr>
        <w:t xml:space="preserve"> l</w:t>
      </w:r>
      <w:r w:rsidR="00F43FB6" w:rsidRPr="009D49EC">
        <w:rPr>
          <w:b/>
        </w:rPr>
        <w:t>e deuxième</w:t>
      </w:r>
      <w:r w:rsidR="00014231" w:rsidRPr="009D49EC">
        <w:rPr>
          <w:b/>
        </w:rPr>
        <w:t xml:space="preserve"> plan</w:t>
      </w:r>
      <w:r w:rsidR="00F43FB6" w:rsidRPr="009D49EC">
        <w:rPr>
          <w:b/>
        </w:rPr>
        <w:t xml:space="preserve"> d’action</w:t>
      </w:r>
      <w:r w:rsidR="009D49EC">
        <w:rPr>
          <w:b/>
        </w:rPr>
        <w:t xml:space="preserve"> du gouvernement</w:t>
      </w:r>
      <w:r>
        <w:t xml:space="preserve"> </w:t>
      </w:r>
      <w:r w:rsidR="009D49EC">
        <w:t xml:space="preserve">est porté par 12 ministères et plusieurs </w:t>
      </w:r>
      <w:r w:rsidR="000611D3" w:rsidRPr="009D49EC">
        <w:t>institutions indépendantes comme la Haute Autorité pour la transparence de la vie publique (HATVP) et la Cour des comptes</w:t>
      </w:r>
      <w:r w:rsidR="009D49EC">
        <w:t xml:space="preserve">. </w:t>
      </w:r>
      <w:r w:rsidR="006568EA">
        <w:rPr>
          <w:b/>
        </w:rPr>
        <w:t>Pour les deux prochaines années, l</w:t>
      </w:r>
      <w:r w:rsidR="00165593" w:rsidRPr="000A254A">
        <w:rPr>
          <w:b/>
        </w:rPr>
        <w:t>’Etat</w:t>
      </w:r>
      <w:r w:rsidR="00014231" w:rsidRPr="000A254A">
        <w:t xml:space="preserve"> </w:t>
      </w:r>
      <w:r w:rsidR="00014231" w:rsidRPr="000A254A">
        <w:rPr>
          <w:b/>
        </w:rPr>
        <w:t xml:space="preserve">s’engage </w:t>
      </w:r>
      <w:r w:rsidR="009D49EC">
        <w:rPr>
          <w:b/>
        </w:rPr>
        <w:t>à renforcer la transparence de la vie</w:t>
      </w:r>
      <w:r w:rsidR="00C716EF">
        <w:rPr>
          <w:b/>
        </w:rPr>
        <w:t xml:space="preserve"> publique, l’innovation ouverte</w:t>
      </w:r>
      <w:r w:rsidR="009D49EC">
        <w:rPr>
          <w:b/>
        </w:rPr>
        <w:t xml:space="preserve"> et la participation citoyenne. </w:t>
      </w:r>
    </w:p>
    <w:p w:rsidR="00DA7E34" w:rsidRPr="009D49EC" w:rsidRDefault="009D49EC" w:rsidP="00165593">
      <w:pPr>
        <w:spacing w:after="120"/>
        <w:jc w:val="both"/>
      </w:pPr>
      <w:r w:rsidRPr="00BD58B4">
        <w:rPr>
          <w:b/>
        </w:rPr>
        <w:t>Des chantiers essentiels</w:t>
      </w:r>
      <w:r w:rsidRPr="00D1488C">
        <w:t xml:space="preserve"> sont annoncés dans </w:t>
      </w:r>
      <w:r w:rsidRPr="00932121">
        <w:t xml:space="preserve">les </w:t>
      </w:r>
      <w:r w:rsidR="00932121" w:rsidRPr="00932121">
        <w:t>21</w:t>
      </w:r>
      <w:r w:rsidR="00932121">
        <w:t xml:space="preserve"> </w:t>
      </w:r>
      <w:r w:rsidRPr="00BD58B4">
        <w:t>engagements du plan d’action</w:t>
      </w:r>
      <w:r w:rsidR="00C716EF">
        <w:t xml:space="preserve"> national</w:t>
      </w:r>
      <w:r w:rsidRPr="00BD58B4">
        <w:t xml:space="preserve"> 2018-2020</w:t>
      </w:r>
      <w:r w:rsidR="00D1488C" w:rsidRPr="00D1488C">
        <w:t>,</w:t>
      </w:r>
      <w:r w:rsidR="00D1488C">
        <w:t xml:space="preserve"> qui </w:t>
      </w:r>
      <w:r w:rsidR="00D1488C" w:rsidRPr="00452AA4">
        <w:rPr>
          <w:b/>
        </w:rPr>
        <w:t>met</w:t>
      </w:r>
      <w:r w:rsidR="00BD58B4">
        <w:rPr>
          <w:b/>
        </w:rPr>
        <w:t>tent</w:t>
      </w:r>
      <w:r w:rsidR="00D1488C" w:rsidRPr="00452AA4">
        <w:rPr>
          <w:b/>
        </w:rPr>
        <w:t xml:space="preserve"> l’accent sur les opportunités offertes par la transformation numérique</w:t>
      </w:r>
      <w:r>
        <w:rPr>
          <w:b/>
        </w:rPr>
        <w:t> :</w:t>
      </w:r>
    </w:p>
    <w:p w:rsidR="00932121" w:rsidRPr="00932121" w:rsidRDefault="00932121" w:rsidP="005F75E4">
      <w:pPr>
        <w:pStyle w:val="Paragraphedeliste"/>
        <w:numPr>
          <w:ilvl w:val="0"/>
          <w:numId w:val="16"/>
        </w:numPr>
        <w:jc w:val="both"/>
        <w:rPr>
          <w:bCs/>
        </w:rPr>
      </w:pPr>
      <w:r>
        <w:rPr>
          <w:b/>
        </w:rPr>
        <w:t xml:space="preserve">La transparence de l’action publique : </w:t>
      </w:r>
      <w:r>
        <w:rPr>
          <w:bCs/>
        </w:rPr>
        <w:t xml:space="preserve">avec notamment la publication d’indicateurs de qualité des services publics, </w:t>
      </w:r>
      <w:r w:rsidR="005F75E4">
        <w:rPr>
          <w:bCs/>
        </w:rPr>
        <w:t>le renforcement de la transparence de</w:t>
      </w:r>
      <w:r>
        <w:rPr>
          <w:bCs/>
        </w:rPr>
        <w:t xml:space="preserve"> la commande publique et de l’aide</w:t>
      </w:r>
      <w:r w:rsidR="00CD6C18">
        <w:rPr>
          <w:bCs/>
        </w:rPr>
        <w:t xml:space="preserve"> publique</w:t>
      </w:r>
      <w:r>
        <w:rPr>
          <w:bCs/>
        </w:rPr>
        <w:t xml:space="preserve"> au développement.</w:t>
      </w:r>
    </w:p>
    <w:p w:rsidR="00932121" w:rsidRPr="00932121" w:rsidRDefault="00932121" w:rsidP="00932121">
      <w:pPr>
        <w:pStyle w:val="Paragraphedeliste"/>
        <w:jc w:val="both"/>
      </w:pPr>
    </w:p>
    <w:p w:rsidR="00C46F26" w:rsidRPr="00CD6C18" w:rsidRDefault="00932121" w:rsidP="00CD6C18">
      <w:pPr>
        <w:pStyle w:val="Paragraphedeliste"/>
        <w:numPr>
          <w:ilvl w:val="0"/>
          <w:numId w:val="16"/>
        </w:numPr>
        <w:jc w:val="both"/>
        <w:rPr>
          <w:bCs/>
        </w:rPr>
      </w:pPr>
      <w:r>
        <w:rPr>
          <w:b/>
        </w:rPr>
        <w:t xml:space="preserve">L’ouverture des ressources </w:t>
      </w:r>
      <w:r w:rsidR="001F4730">
        <w:rPr>
          <w:b/>
        </w:rPr>
        <w:t xml:space="preserve">numériques et l’innovation ouverte : </w:t>
      </w:r>
    </w:p>
    <w:p w:rsidR="00C46F26" w:rsidRPr="00C46F26" w:rsidRDefault="001F4730" w:rsidP="00C46F26">
      <w:pPr>
        <w:pStyle w:val="Paragraphedeliste"/>
        <w:numPr>
          <w:ilvl w:val="1"/>
          <w:numId w:val="16"/>
        </w:numPr>
        <w:jc w:val="both"/>
        <w:rPr>
          <w:bCs/>
        </w:rPr>
      </w:pPr>
      <w:r>
        <w:rPr>
          <w:b/>
        </w:rPr>
        <w:t>une ouverture toujours plus active des données</w:t>
      </w:r>
      <w:r w:rsidR="00932121">
        <w:rPr>
          <w:b/>
        </w:rPr>
        <w:t xml:space="preserve"> </w:t>
      </w:r>
      <w:r w:rsidRPr="001F4730">
        <w:rPr>
          <w:bCs/>
        </w:rPr>
        <w:t xml:space="preserve">avec l’enrichissement du service public de la donnée et l’identification d’une nouvelle liste de données de </w:t>
      </w:r>
      <w:r w:rsidRPr="00CD6C18">
        <w:rPr>
          <w:bCs/>
        </w:rPr>
        <w:t>référence ;</w:t>
      </w:r>
    </w:p>
    <w:p w:rsidR="00C46F26" w:rsidRPr="00C46F26" w:rsidRDefault="001F4730" w:rsidP="0014443F">
      <w:pPr>
        <w:pStyle w:val="Paragraphedeliste"/>
        <w:numPr>
          <w:ilvl w:val="1"/>
          <w:numId w:val="16"/>
        </w:numPr>
        <w:jc w:val="both"/>
        <w:rPr>
          <w:bCs/>
        </w:rPr>
      </w:pPr>
      <w:r w:rsidRPr="001F4730">
        <w:rPr>
          <w:b/>
        </w:rPr>
        <w:t>la mobilisation de nouveaux moyens  pour rendre effective l’</w:t>
      </w:r>
      <w:r>
        <w:rPr>
          <w:b/>
        </w:rPr>
        <w:t>ouverture des ressources numériques</w:t>
      </w:r>
      <w:r w:rsidR="0014443F">
        <w:rPr>
          <w:b/>
        </w:rPr>
        <w:t> </w:t>
      </w:r>
      <w:r w:rsidR="0014443F">
        <w:rPr>
          <w:bCs/>
        </w:rPr>
        <w:t xml:space="preserve">: avec notamment des </w:t>
      </w:r>
      <w:r w:rsidRPr="001F4730">
        <w:rPr>
          <w:bCs/>
        </w:rPr>
        <w:t>administrateurs ministériels des données</w:t>
      </w:r>
      <w:r w:rsidR="00CD6C18">
        <w:rPr>
          <w:bCs/>
        </w:rPr>
        <w:t xml:space="preserve"> dans chaque ministère</w:t>
      </w:r>
      <w:r w:rsidR="0014443F">
        <w:rPr>
          <w:bCs/>
        </w:rPr>
        <w:t xml:space="preserve"> qui </w:t>
      </w:r>
      <w:r w:rsidR="0014443F">
        <w:t>piloteront, au sein de leur</w:t>
      </w:r>
      <w:r w:rsidR="00892065">
        <w:t xml:space="preserve"> ministères, la politique d’ouverture et de circulation des données publiques ; </w:t>
      </w:r>
      <w:r w:rsidRPr="001F4730">
        <w:rPr>
          <w:bCs/>
        </w:rPr>
        <w:t>et</w:t>
      </w:r>
      <w:r w:rsidR="0014443F">
        <w:rPr>
          <w:bCs/>
        </w:rPr>
        <w:t xml:space="preserve"> l’accompagnement des</w:t>
      </w:r>
      <w:r w:rsidRPr="001F4730">
        <w:rPr>
          <w:bCs/>
        </w:rPr>
        <w:t xml:space="preserve"> administrations dans l’ouverture des algorithmes et des codes sources publics</w:t>
      </w:r>
      <w:r w:rsidR="00892065" w:rsidRPr="00CD6C18">
        <w:rPr>
          <w:bCs/>
        </w:rPr>
        <w:t> ;</w:t>
      </w:r>
      <w:r w:rsidR="00892065">
        <w:rPr>
          <w:b/>
        </w:rPr>
        <w:t xml:space="preserve"> </w:t>
      </w:r>
    </w:p>
    <w:p w:rsidR="001F4730" w:rsidRPr="00CD6C18" w:rsidRDefault="00892065" w:rsidP="00C46F26">
      <w:pPr>
        <w:pStyle w:val="Paragraphedeliste"/>
        <w:numPr>
          <w:ilvl w:val="1"/>
          <w:numId w:val="16"/>
        </w:numPr>
        <w:jc w:val="both"/>
        <w:rPr>
          <w:bCs/>
        </w:rPr>
      </w:pPr>
      <w:r w:rsidRPr="00CD6C18">
        <w:rPr>
          <w:b/>
        </w:rPr>
        <w:t xml:space="preserve">la mobilisation de moyens pour exploiter les données </w:t>
      </w:r>
      <w:r w:rsidR="00C46F26" w:rsidRPr="00CD6C18">
        <w:rPr>
          <w:sz w:val="20"/>
          <w:szCs w:val="20"/>
        </w:rPr>
        <w:t>avec</w:t>
      </w:r>
      <w:r w:rsidR="001F4730" w:rsidRPr="00CD6C18">
        <w:rPr>
          <w:sz w:val="20"/>
          <w:szCs w:val="20"/>
        </w:rPr>
        <w:t xml:space="preserve"> la </w:t>
      </w:r>
      <w:r w:rsidR="001F4730" w:rsidRPr="00CD6C18">
        <w:rPr>
          <w:bCs/>
        </w:rPr>
        <w:t>création d’un laboratoire d’i</w:t>
      </w:r>
      <w:r w:rsidRPr="00CD6C18">
        <w:rPr>
          <w:bCs/>
        </w:rPr>
        <w:t>ntelligence artificielle</w:t>
      </w:r>
      <w:r w:rsidR="00CD6C18">
        <w:rPr>
          <w:bCs/>
        </w:rPr>
        <w:t xml:space="preserve"> (IA)</w:t>
      </w:r>
      <w:r w:rsidRPr="00CD6C18">
        <w:rPr>
          <w:bCs/>
        </w:rPr>
        <w:t>,</w:t>
      </w:r>
      <w:r w:rsidR="00CD6C18" w:rsidRPr="00CD6C18">
        <w:rPr>
          <w:bCs/>
        </w:rPr>
        <w:t xml:space="preserve"> pour initier et accompagner des projets IA à fort </w:t>
      </w:r>
      <w:r w:rsidR="00CD6C18">
        <w:rPr>
          <w:bCs/>
        </w:rPr>
        <w:t>impact ;</w:t>
      </w:r>
      <w:r w:rsidRPr="00CD6C18">
        <w:rPr>
          <w:bCs/>
        </w:rPr>
        <w:t xml:space="preserve"> </w:t>
      </w:r>
      <w:r w:rsidR="00C46F26" w:rsidRPr="00CD6C18">
        <w:rPr>
          <w:bCs/>
        </w:rPr>
        <w:t>la pérennisation du programme «</w:t>
      </w:r>
      <w:proofErr w:type="spellStart"/>
      <w:r w:rsidR="00C46F26" w:rsidRPr="00CD6C18">
        <w:rPr>
          <w:bCs/>
        </w:rPr>
        <w:t>Entrepreneur.e</w:t>
      </w:r>
      <w:proofErr w:type="spellEnd"/>
      <w:r w:rsidR="00C46F26" w:rsidRPr="00CD6C18">
        <w:rPr>
          <w:bCs/>
        </w:rPr>
        <w:t xml:space="preserve"> d’intérêt général »</w:t>
      </w:r>
      <w:r w:rsidRPr="00CD6C18">
        <w:rPr>
          <w:bCs/>
        </w:rPr>
        <w:t xml:space="preserve">, </w:t>
      </w:r>
      <w:r w:rsidR="00CD6C18">
        <w:rPr>
          <w:bCs/>
        </w:rPr>
        <w:t xml:space="preserve">et </w:t>
      </w:r>
      <w:r w:rsidRPr="00CD6C18">
        <w:rPr>
          <w:bCs/>
        </w:rPr>
        <w:t>la création d’</w:t>
      </w:r>
      <w:r w:rsidR="001F4730" w:rsidRPr="00CD6C18">
        <w:rPr>
          <w:bCs/>
        </w:rPr>
        <w:t xml:space="preserve">incubateurs de services publics numériques dans chaque </w:t>
      </w:r>
      <w:r w:rsidR="00CD6C18" w:rsidRPr="00CD6C18">
        <w:rPr>
          <w:bCs/>
        </w:rPr>
        <w:t>ministère</w:t>
      </w:r>
      <w:r w:rsidR="001F4730" w:rsidRPr="00CD6C18">
        <w:rPr>
          <w:bCs/>
        </w:rPr>
        <w:t xml:space="preserve"> </w:t>
      </w:r>
      <w:r w:rsidR="00CD6C18">
        <w:rPr>
          <w:bCs/>
        </w:rPr>
        <w:t xml:space="preserve">pour </w:t>
      </w:r>
      <w:r w:rsidR="00CD6C18">
        <w:rPr>
          <w:bCs/>
        </w:rPr>
        <w:lastRenderedPageBreak/>
        <w:t xml:space="preserve">ouvrir l’administration à de nouvelles compétences et accompagner les initiatives d’innovation ouverte au sein de l’Etat. </w:t>
      </w:r>
    </w:p>
    <w:p w:rsidR="00F458E6" w:rsidRPr="00CD6C18" w:rsidRDefault="00DA7E34" w:rsidP="00CD6C18">
      <w:pPr>
        <w:pStyle w:val="Paragraphedeliste"/>
        <w:jc w:val="both"/>
      </w:pPr>
      <w:r w:rsidRPr="000611D3">
        <w:t xml:space="preserve"> </w:t>
      </w:r>
    </w:p>
    <w:p w:rsidR="00F458E6" w:rsidRDefault="00452AA4" w:rsidP="00CD6C18">
      <w:pPr>
        <w:pStyle w:val="Paragraphedeliste"/>
        <w:numPr>
          <w:ilvl w:val="0"/>
          <w:numId w:val="16"/>
        </w:numPr>
        <w:jc w:val="both"/>
      </w:pPr>
      <w:r w:rsidRPr="00F458E6">
        <w:rPr>
          <w:b/>
        </w:rPr>
        <w:t xml:space="preserve">Des démarches de participation renforcées : </w:t>
      </w:r>
      <w:r w:rsidR="00CD6C18" w:rsidRPr="00CD6C18">
        <w:rPr>
          <w:bCs/>
        </w:rPr>
        <w:t>avec la mise à disposition</w:t>
      </w:r>
      <w:r w:rsidR="00CD6C18">
        <w:rPr>
          <w:b/>
        </w:rPr>
        <w:t xml:space="preserve"> </w:t>
      </w:r>
      <w:r w:rsidR="00CD6C18">
        <w:t>d</w:t>
      </w:r>
      <w:r w:rsidR="00D81EE8">
        <w:t>es ministères</w:t>
      </w:r>
      <w:r w:rsidR="00CD6C18">
        <w:t xml:space="preserve"> d’outils pour</w:t>
      </w:r>
      <w:r w:rsidR="00D81EE8">
        <w:t xml:space="preserve"> organiser des consultations citoyennes de manière simplifiée. Ce</w:t>
      </w:r>
      <w:r w:rsidR="00CD6C18">
        <w:t>s</w:t>
      </w:r>
      <w:r w:rsidR="00D81EE8">
        <w:t xml:space="preserve"> démarche</w:t>
      </w:r>
      <w:r w:rsidR="00CD6C18">
        <w:t>s</w:t>
      </w:r>
      <w:r w:rsidR="00D81EE8">
        <w:t xml:space="preserve"> </w:t>
      </w:r>
      <w:r w:rsidR="00CD6C18">
        <w:t>de participation se traduisent</w:t>
      </w:r>
      <w:r w:rsidR="00D81EE8">
        <w:t xml:space="preserve"> aussi par l’expérimentation d’un format de dialogue inédit, le </w:t>
      </w:r>
      <w:r w:rsidR="00D81EE8" w:rsidRPr="00F458E6">
        <w:rPr>
          <w:i/>
        </w:rPr>
        <w:t xml:space="preserve">Forum Open d’Etat, </w:t>
      </w:r>
      <w:r w:rsidR="00D81EE8">
        <w:t xml:space="preserve">qui réunira régulièrement administrations et société civile. </w:t>
      </w:r>
      <w:r w:rsidR="0014443F">
        <w:t>De plus, a</w:t>
      </w:r>
      <w:r w:rsidR="00D81EE8">
        <w:t>u cours de l’ann</w:t>
      </w:r>
      <w:r w:rsidR="00CD6C18">
        <w:t xml:space="preserve">ée 2018, la France accueillera un sommet international sur la </w:t>
      </w:r>
      <w:proofErr w:type="spellStart"/>
      <w:r w:rsidR="00F458E6" w:rsidRPr="00CD6C18">
        <w:rPr>
          <w:i/>
          <w:iCs/>
        </w:rPr>
        <w:t>gov</w:t>
      </w:r>
      <w:proofErr w:type="spellEnd"/>
      <w:r w:rsidR="00F458E6" w:rsidRPr="00CD6C18">
        <w:rPr>
          <w:i/>
          <w:iCs/>
        </w:rPr>
        <w:t xml:space="preserve"> </w:t>
      </w:r>
      <w:proofErr w:type="spellStart"/>
      <w:r w:rsidR="00F458E6" w:rsidRPr="00CD6C18">
        <w:rPr>
          <w:i/>
          <w:iCs/>
        </w:rPr>
        <w:t>tech</w:t>
      </w:r>
      <w:proofErr w:type="spellEnd"/>
      <w:r w:rsidR="00F458E6">
        <w:t>.</w:t>
      </w:r>
      <w:r w:rsidR="00D81EE8">
        <w:t xml:space="preserve">  </w:t>
      </w:r>
    </w:p>
    <w:p w:rsidR="00CD6C18" w:rsidRDefault="00CD6C18" w:rsidP="00CD6C18">
      <w:pPr>
        <w:pStyle w:val="Paragraphedeliste"/>
        <w:jc w:val="both"/>
      </w:pPr>
    </w:p>
    <w:p w:rsidR="00CD6C18" w:rsidRDefault="00CD6C18" w:rsidP="0014443F">
      <w:pPr>
        <w:pStyle w:val="Paragraphedeliste"/>
        <w:numPr>
          <w:ilvl w:val="0"/>
          <w:numId w:val="16"/>
        </w:numPr>
        <w:jc w:val="both"/>
        <w:rPr>
          <w:b/>
        </w:rPr>
      </w:pPr>
      <w:r w:rsidRPr="00CD6C18">
        <w:rPr>
          <w:b/>
        </w:rPr>
        <w:t>La mise en œuvre des principes du gouvernement ouvert</w:t>
      </w:r>
      <w:r w:rsidR="0014443F">
        <w:rPr>
          <w:b/>
        </w:rPr>
        <w:t xml:space="preserve"> </w:t>
      </w:r>
      <w:r w:rsidRPr="00CD6C18">
        <w:rPr>
          <w:b/>
        </w:rPr>
        <w:t>au service d</w:t>
      </w:r>
      <w:r w:rsidR="0014443F">
        <w:rPr>
          <w:b/>
        </w:rPr>
        <w:t>’</w:t>
      </w:r>
      <w:r w:rsidRPr="00CD6C18">
        <w:rPr>
          <w:b/>
        </w:rPr>
        <w:t xml:space="preserve">enjeux mondiaux : </w:t>
      </w:r>
      <w:r w:rsidR="0014443F" w:rsidRPr="0014443F">
        <w:rPr>
          <w:bCs/>
        </w:rPr>
        <w:t xml:space="preserve">la </w:t>
      </w:r>
      <w:r w:rsidRPr="00CD6C18">
        <w:rPr>
          <w:bCs/>
        </w:rPr>
        <w:t xml:space="preserve">démocratie, </w:t>
      </w:r>
      <w:r w:rsidR="0014443F">
        <w:rPr>
          <w:bCs/>
        </w:rPr>
        <w:t xml:space="preserve">la </w:t>
      </w:r>
      <w:r w:rsidRPr="00CD6C18">
        <w:rPr>
          <w:bCs/>
        </w:rPr>
        <w:t xml:space="preserve">transition écologique et </w:t>
      </w:r>
      <w:r w:rsidR="0014443F">
        <w:rPr>
          <w:bCs/>
        </w:rPr>
        <w:t xml:space="preserve">la </w:t>
      </w:r>
      <w:r w:rsidRPr="00CD6C18">
        <w:rPr>
          <w:bCs/>
        </w:rPr>
        <w:t>science ouverte</w:t>
      </w:r>
      <w:r w:rsidRPr="00CD6C18">
        <w:rPr>
          <w:b/>
        </w:rPr>
        <w:t xml:space="preserve">. </w:t>
      </w:r>
    </w:p>
    <w:p w:rsidR="00CD6C18" w:rsidRPr="00CD6C18" w:rsidRDefault="0014443F" w:rsidP="00C716EF">
      <w:pPr>
        <w:jc w:val="both"/>
        <w:rPr>
          <w:bCs/>
        </w:rPr>
      </w:pPr>
      <w:r>
        <w:t>A</w:t>
      </w:r>
      <w:r w:rsidR="00CD6C18" w:rsidRPr="00CD6C18">
        <w:t xml:space="preserve">fin d’adapter nos démocraties à l’ère du numérique, </w:t>
      </w:r>
      <w:r w:rsidR="00CD6C18" w:rsidRPr="005F75E4">
        <w:rPr>
          <w:b/>
          <w:bCs/>
        </w:rPr>
        <w:t>il est nécessaire que la culture de l’ouverture se diffuse à travers toutes nos institutions</w:t>
      </w:r>
      <w:r w:rsidR="00CD6C18" w:rsidRPr="00CD6C18">
        <w:t xml:space="preserve"> qui sont le fondement de notre démocratie. Ainsi, </w:t>
      </w:r>
      <w:r w:rsidR="00CD6C18" w:rsidRPr="005F75E4">
        <w:rPr>
          <w:b/>
          <w:bCs/>
        </w:rPr>
        <w:t xml:space="preserve">l’Assemblée </w:t>
      </w:r>
      <w:r w:rsidR="00CD6C18" w:rsidRPr="0058239C">
        <w:rPr>
          <w:b/>
          <w:bCs/>
        </w:rPr>
        <w:t>nationale</w:t>
      </w:r>
      <w:r w:rsidR="00C25755">
        <w:rPr>
          <w:b/>
          <w:bCs/>
        </w:rPr>
        <w:t xml:space="preserve"> </w:t>
      </w:r>
      <w:r w:rsidR="00C25755">
        <w:t xml:space="preserve">(voir en </w:t>
      </w:r>
      <w:r w:rsidR="00C25755" w:rsidRPr="00C25755">
        <w:t>page 3)</w:t>
      </w:r>
      <w:r>
        <w:t>,</w:t>
      </w:r>
      <w:r w:rsidR="005F75E4">
        <w:t xml:space="preserve"> la </w:t>
      </w:r>
      <w:r w:rsidR="005F75E4" w:rsidRPr="005F75E4">
        <w:rPr>
          <w:b/>
          <w:bCs/>
        </w:rPr>
        <w:t>Haute Autorité pour la transparence de la vie publique</w:t>
      </w:r>
      <w:r w:rsidR="005F75E4">
        <w:t xml:space="preserve"> </w:t>
      </w:r>
      <w:r w:rsidR="00CD6C18" w:rsidRPr="00CD6C18">
        <w:t>et</w:t>
      </w:r>
      <w:r w:rsidR="005F75E4">
        <w:t xml:space="preserve"> la </w:t>
      </w:r>
      <w:r w:rsidR="005F75E4" w:rsidRPr="005F75E4">
        <w:rPr>
          <w:b/>
          <w:bCs/>
        </w:rPr>
        <w:t>Cour des Comptes</w:t>
      </w:r>
      <w:r w:rsidR="00CD6C18" w:rsidRPr="00CD6C18">
        <w:t xml:space="preserve"> ont pris des engagements</w:t>
      </w:r>
      <w:r w:rsidR="005F75E4">
        <w:t xml:space="preserve"> pour renforcer la transparence de leur action et la participation citoyenne au sein de leurs institutions. </w:t>
      </w:r>
    </w:p>
    <w:p w:rsidR="00877726" w:rsidRPr="005F75E4" w:rsidRDefault="00165593" w:rsidP="005F75E4">
      <w:pPr>
        <w:jc w:val="both"/>
        <w:rPr>
          <w:b/>
        </w:rPr>
      </w:pPr>
      <w:r w:rsidRPr="00080D6B">
        <w:t>«</w:t>
      </w:r>
      <w:r w:rsidR="00B11345">
        <w:t xml:space="preserve"> </w:t>
      </w:r>
      <w:r w:rsidR="004D699A" w:rsidRPr="005F75E4">
        <w:rPr>
          <w:i/>
        </w:rPr>
        <w:t>Ce Plan d’action national 2018-</w:t>
      </w:r>
      <w:r w:rsidR="00C716EF">
        <w:rPr>
          <w:i/>
        </w:rPr>
        <w:t>2020</w:t>
      </w:r>
      <w:r w:rsidRPr="005F75E4">
        <w:rPr>
          <w:i/>
        </w:rPr>
        <w:t xml:space="preserve"> renouvelle nos engagements en faveur d’une action publique plus transparente et collaborative. C’est une priorité de notre gouvernement</w:t>
      </w:r>
      <w:r w:rsidR="00B11345" w:rsidRPr="005F75E4">
        <w:rPr>
          <w:i/>
        </w:rPr>
        <w:t xml:space="preserve">, </w:t>
      </w:r>
      <w:r w:rsidRPr="005F75E4">
        <w:rPr>
          <w:i/>
        </w:rPr>
        <w:t xml:space="preserve">une demande impérieuse des citoyens, et la seule réponse possible pour bâtir une société plus juste, garantir les libertés fondamentales, rendre le service public plus proche des usagers et ainsi renouveler notre démocratie grâce au numérique. </w:t>
      </w:r>
      <w:r>
        <w:t xml:space="preserve">» </w:t>
      </w:r>
      <w:r w:rsidR="00C716EF">
        <w:rPr>
          <w:b/>
        </w:rPr>
        <w:t xml:space="preserve">Mounir </w:t>
      </w:r>
      <w:proofErr w:type="spellStart"/>
      <w:r w:rsidR="00C716EF">
        <w:rPr>
          <w:b/>
        </w:rPr>
        <w:t>Mahjoubi</w:t>
      </w:r>
      <w:proofErr w:type="spellEnd"/>
      <w:r w:rsidR="00C716EF">
        <w:rPr>
          <w:b/>
        </w:rPr>
        <w:t>, s</w:t>
      </w:r>
      <w:r w:rsidRPr="005F75E4">
        <w:rPr>
          <w:b/>
        </w:rPr>
        <w:t>ecrétaire d’État auprès du Premier ministre, chargé du Numérique.</w:t>
      </w:r>
    </w:p>
    <w:p w:rsidR="005F75E4" w:rsidRPr="0014443F" w:rsidRDefault="0014443F" w:rsidP="005F75E4">
      <w:pPr>
        <w:jc w:val="both"/>
        <w:rPr>
          <w:b/>
          <w:bCs/>
        </w:rPr>
      </w:pPr>
      <w:r>
        <w:t>Le</w:t>
      </w:r>
      <w:r w:rsidR="005F75E4">
        <w:t xml:space="preserve"> suivi de la mise en œuvre du plan d’action sera public. Ce plan d’action n’est qu’une étape dans la démarche d’ouverture et la diffusion de la culture de l’ouverture au sein des institutions publiques, d</w:t>
      </w:r>
      <w:r w:rsidR="00F458E6" w:rsidRPr="00F458E6">
        <w:t xml:space="preserve">’autres actions et engagements </w:t>
      </w:r>
      <w:r w:rsidR="005F75E4">
        <w:t>suivront</w:t>
      </w:r>
      <w:r w:rsidR="00F458E6" w:rsidRPr="00F458E6">
        <w:t xml:space="preserve">. Le Gouvernement </w:t>
      </w:r>
      <w:r w:rsidR="00696FA3">
        <w:t xml:space="preserve">envisage </w:t>
      </w:r>
      <w:r>
        <w:t xml:space="preserve">notamment </w:t>
      </w:r>
      <w:r w:rsidR="00696FA3">
        <w:t xml:space="preserve">d’inclure dans le projet de réforme </w:t>
      </w:r>
      <w:r w:rsidR="00F458E6" w:rsidRPr="00F458E6">
        <w:t>constitutionnelle</w:t>
      </w:r>
      <w:r w:rsidR="00F458E6" w:rsidRPr="000A254A">
        <w:t>,</w:t>
      </w:r>
      <w:r w:rsidR="00696FA3">
        <w:t xml:space="preserve"> </w:t>
      </w:r>
      <w:r w:rsidR="00696FA3" w:rsidRPr="00696FA3">
        <w:rPr>
          <w:b/>
        </w:rPr>
        <w:t>une évolution</w:t>
      </w:r>
      <w:r w:rsidR="0065417E">
        <w:rPr>
          <w:b/>
        </w:rPr>
        <w:t xml:space="preserve"> des missions</w:t>
      </w:r>
      <w:r w:rsidR="00696FA3" w:rsidRPr="00696FA3">
        <w:rPr>
          <w:b/>
        </w:rPr>
        <w:t xml:space="preserve"> </w:t>
      </w:r>
      <w:r w:rsidR="00F458E6" w:rsidRPr="00696FA3">
        <w:rPr>
          <w:b/>
        </w:rPr>
        <w:t>du Conseil</w:t>
      </w:r>
      <w:r w:rsidR="00F458E6" w:rsidRPr="00F458E6">
        <w:rPr>
          <w:b/>
        </w:rPr>
        <w:t xml:space="preserve"> économique, social et environnemental (CESE), </w:t>
      </w:r>
      <w:r w:rsidR="0065417E">
        <w:rPr>
          <w:b/>
        </w:rPr>
        <w:t>pour qu’il devienne la chambre</w:t>
      </w:r>
      <w:r w:rsidR="00F458E6" w:rsidRPr="00F458E6">
        <w:rPr>
          <w:b/>
        </w:rPr>
        <w:t xml:space="preserve"> du gouvernement ouvert </w:t>
      </w:r>
      <w:r w:rsidR="0065417E">
        <w:rPr>
          <w:b/>
        </w:rPr>
        <w:t>et de la participation citoyenne.</w:t>
      </w:r>
      <w:r w:rsidR="00F458E6" w:rsidRPr="00F458E6">
        <w:t xml:space="preserve"> </w:t>
      </w:r>
      <w:r w:rsidR="005F75E4">
        <w:t xml:space="preserve">Sous réserve de l’adoption du projet de loi constitutionnel par les deux chambres réunies en Congrès, </w:t>
      </w:r>
      <w:r w:rsidR="005F75E4" w:rsidRPr="0014443F">
        <w:rPr>
          <w:b/>
          <w:bCs/>
        </w:rPr>
        <w:t>le CESE pourrait être consulté systématiquement sur les projets de loi à caractère économique, social ou environnemental.</w:t>
      </w:r>
    </w:p>
    <w:p w:rsidR="00165593" w:rsidRPr="009B1016" w:rsidRDefault="00CB62AE" w:rsidP="00241598">
      <w:pPr>
        <w:rPr>
          <w:b/>
          <w:color w:val="0000FF" w:themeColor="hyperlink"/>
          <w:u w:val="single"/>
        </w:rPr>
      </w:pPr>
      <w:r w:rsidRPr="00E85F3A">
        <w:rPr>
          <w:b/>
        </w:rPr>
        <w:t xml:space="preserve">&gt; </w:t>
      </w:r>
      <w:r w:rsidR="00FA37A4">
        <w:rPr>
          <w:b/>
        </w:rPr>
        <w:t>Consultez</w:t>
      </w:r>
      <w:r w:rsidRPr="00E85F3A">
        <w:rPr>
          <w:b/>
        </w:rPr>
        <w:t xml:space="preserve"> </w:t>
      </w:r>
      <w:r w:rsidR="00877726">
        <w:rPr>
          <w:b/>
        </w:rPr>
        <w:t>le</w:t>
      </w:r>
      <w:r w:rsidR="00695C42">
        <w:rPr>
          <w:b/>
        </w:rPr>
        <w:t xml:space="preserve"> </w:t>
      </w:r>
      <w:hyperlink r:id="rId11" w:history="1">
        <w:r w:rsidR="00F30649" w:rsidRPr="005F75E4">
          <w:rPr>
            <w:rStyle w:val="Lienhypertexte"/>
            <w:b/>
          </w:rPr>
          <w:t xml:space="preserve">Plan d’action national </w:t>
        </w:r>
        <w:r w:rsidR="00877726" w:rsidRPr="005F75E4">
          <w:rPr>
            <w:rStyle w:val="Lienhypertexte"/>
            <w:b/>
          </w:rPr>
          <w:t xml:space="preserve">du gouvernement </w:t>
        </w:r>
        <w:r w:rsidR="00F30649" w:rsidRPr="005F75E4">
          <w:rPr>
            <w:rStyle w:val="Lienhypertexte"/>
            <w:b/>
          </w:rPr>
          <w:t>pour une action publique transparente et collaborative</w:t>
        </w:r>
        <w:r w:rsidR="00A87C92" w:rsidRPr="005F75E4">
          <w:rPr>
            <w:rStyle w:val="Lienhypertexte"/>
            <w:b/>
          </w:rPr>
          <w:t xml:space="preserve"> (2018-2020)</w:t>
        </w:r>
      </w:hyperlink>
    </w:p>
    <w:p w:rsidR="0058239C" w:rsidRDefault="0058239C">
      <w:pPr>
        <w:rPr>
          <w:b/>
          <w:u w:val="single"/>
        </w:rPr>
      </w:pPr>
      <w:r>
        <w:rPr>
          <w:b/>
          <w:u w:val="single"/>
        </w:rPr>
        <w:br w:type="page"/>
      </w:r>
    </w:p>
    <w:p w:rsidR="0058239C" w:rsidRPr="000A254A" w:rsidRDefault="001048E6" w:rsidP="0058239C">
      <w:pPr>
        <w:spacing w:before="240"/>
        <w:jc w:val="both"/>
        <w:rPr>
          <w:b/>
          <w:u w:val="single"/>
        </w:rPr>
      </w:pPr>
      <w:r w:rsidRPr="001048E6">
        <w:rPr>
          <w:b/>
          <w:u w:val="single"/>
        </w:rPr>
        <w:lastRenderedPageBreak/>
        <w:t xml:space="preserve">Assemblée nationale : </w:t>
      </w:r>
      <w:r w:rsidR="0058239C">
        <w:rPr>
          <w:b/>
          <w:u w:val="single"/>
        </w:rPr>
        <w:t>Ouverture, transparence et participation citoyenne</w:t>
      </w:r>
    </w:p>
    <w:p w:rsidR="0058239C" w:rsidRPr="0058239C" w:rsidRDefault="0058239C" w:rsidP="0058239C">
      <w:pPr>
        <w:jc w:val="both"/>
      </w:pPr>
      <w:r w:rsidRPr="0058239C">
        <w:t>À l’occasion de l’adhésion de la France au Partenariat pour un Gouvernement ouvert (PGO), l’Assemblée nationale a souhaité s’engager volontairement aux côtés du Gouvernement dans cette démarche.</w:t>
      </w:r>
    </w:p>
    <w:p w:rsidR="0058239C" w:rsidRPr="0058239C" w:rsidRDefault="001048E6" w:rsidP="0058239C">
      <w:pPr>
        <w:jc w:val="both"/>
      </w:pPr>
      <w:r>
        <w:t>E</w:t>
      </w:r>
      <w:r w:rsidR="0058239C" w:rsidRPr="0058239C">
        <w:t>n juillet 2017, la Présidence de l’Assemblée nationale a lancé les « Rendez-vous des réformes 2017</w:t>
      </w:r>
      <w:r w:rsidR="0058239C" w:rsidRPr="0058239C">
        <w:noBreakHyphen/>
        <w:t xml:space="preserve">2022 », processus dont l’objectif assigné par le Président François de Rugy, pendant toute la durée de la législature, est de </w:t>
      </w:r>
      <w:r w:rsidR="0058239C" w:rsidRPr="001048E6">
        <w:rPr>
          <w:i/>
        </w:rPr>
        <w:t>« moderniser l’Assemblée en la rendant plus transparente, plus efficace et plus ouverte dans son fonctionnement »</w:t>
      </w:r>
      <w:r w:rsidR="0058239C" w:rsidRPr="0058239C">
        <w:t>.</w:t>
      </w:r>
    </w:p>
    <w:p w:rsidR="0058239C" w:rsidRPr="0058239C" w:rsidRDefault="0058239C" w:rsidP="0058239C">
      <w:pPr>
        <w:spacing w:before="240"/>
        <w:jc w:val="both"/>
        <w:rPr>
          <w:b/>
        </w:rPr>
      </w:pPr>
      <w:r w:rsidRPr="0058239C">
        <w:rPr>
          <w:b/>
        </w:rPr>
        <w:t>L’élaboration du plan d’action de l’Assemblée nationale</w:t>
      </w:r>
    </w:p>
    <w:p w:rsidR="0058239C" w:rsidRPr="0058239C" w:rsidRDefault="0058239C" w:rsidP="0058239C">
      <w:pPr>
        <w:jc w:val="both"/>
      </w:pPr>
      <w:r w:rsidRPr="0058239C">
        <w:t xml:space="preserve">Ce plan d’action, qui est le deuxième pour l’Assemblée nationale, a été élaboré entre septembre 2017 et mars 2018 dans le cadre des </w:t>
      </w:r>
      <w:r w:rsidRPr="0058239C">
        <w:rPr>
          <w:b/>
        </w:rPr>
        <w:t>« Rendez-vous des réformes 2017-2022 ».</w:t>
      </w:r>
    </w:p>
    <w:p w:rsidR="0058239C" w:rsidRPr="0058239C" w:rsidRDefault="0058239C" w:rsidP="0058239C">
      <w:pPr>
        <w:jc w:val="both"/>
      </w:pPr>
      <w:r w:rsidRPr="0058239C">
        <w:t>Il est entièrement issu d’un dialogue avec la société civile. En particulier, quatre lieux d’échange ont été créés pour favoriser les échanges avec la société civile :</w:t>
      </w:r>
    </w:p>
    <w:p w:rsidR="0058239C" w:rsidRPr="0058239C" w:rsidRDefault="0058239C" w:rsidP="001048E6">
      <w:pPr>
        <w:spacing w:after="120"/>
        <w:jc w:val="both"/>
      </w:pPr>
      <w:r w:rsidRPr="0058239C">
        <w:t>– </w:t>
      </w:r>
      <w:r w:rsidR="001048E6" w:rsidRPr="00570B7F">
        <w:rPr>
          <w:b/>
        </w:rPr>
        <w:t>d</w:t>
      </w:r>
      <w:r w:rsidRPr="00570B7F">
        <w:rPr>
          <w:b/>
        </w:rPr>
        <w:t xml:space="preserve">es groupes de travail </w:t>
      </w:r>
      <w:proofErr w:type="spellStart"/>
      <w:r w:rsidRPr="00570B7F">
        <w:rPr>
          <w:b/>
        </w:rPr>
        <w:t>pluripartisans</w:t>
      </w:r>
      <w:proofErr w:type="spellEnd"/>
      <w:r w:rsidRPr="00570B7F">
        <w:rPr>
          <w:b/>
        </w:rPr>
        <w:t xml:space="preserve"> </w:t>
      </w:r>
      <w:r w:rsidRPr="0058239C">
        <w:t xml:space="preserve">consacrés à la « Démocratie numérique et aux nouvelles formes de participation citoyenne » et à « L’ouverture de l’Assemblée nationale à la société » ont auditionné les acteurs de la société civile concernés (associations, </w:t>
      </w:r>
      <w:proofErr w:type="spellStart"/>
      <w:r w:rsidRPr="0058239C">
        <w:t>civic</w:t>
      </w:r>
      <w:proofErr w:type="spellEnd"/>
      <w:r w:rsidRPr="0058239C">
        <w:t xml:space="preserve"> </w:t>
      </w:r>
      <w:proofErr w:type="spellStart"/>
      <w:r w:rsidRPr="0058239C">
        <w:t>tech</w:t>
      </w:r>
      <w:proofErr w:type="spellEnd"/>
      <w:r w:rsidRPr="0058239C">
        <w:t>, etc.) ;</w:t>
      </w:r>
    </w:p>
    <w:p w:rsidR="0058239C" w:rsidRPr="0058239C" w:rsidRDefault="0058239C" w:rsidP="001048E6">
      <w:pPr>
        <w:spacing w:after="120"/>
        <w:jc w:val="both"/>
      </w:pPr>
      <w:r w:rsidRPr="0058239C">
        <w:t>– </w:t>
      </w:r>
      <w:r w:rsidRPr="00570B7F">
        <w:rPr>
          <w:b/>
        </w:rPr>
        <w:t>une vaste consultation publique</w:t>
      </w:r>
      <w:r w:rsidRPr="0058239C">
        <w:t xml:space="preserve"> a été ouverte en ligne concernant les modalités de participation des citoyens au travail parlementaire, réunissant plusieurs milliers de participants </w:t>
      </w:r>
      <w:r w:rsidRPr="00695C42">
        <w:rPr>
          <w:vertAlign w:val="superscript"/>
        </w:rPr>
        <w:t>(</w:t>
      </w:r>
      <w:r w:rsidRPr="00695C42">
        <w:rPr>
          <w:vertAlign w:val="superscript"/>
        </w:rPr>
        <w:footnoteReference w:id="1"/>
      </w:r>
      <w:r w:rsidRPr="00695C42">
        <w:rPr>
          <w:vertAlign w:val="superscript"/>
        </w:rPr>
        <w:t>)</w:t>
      </w:r>
      <w:r w:rsidRPr="0058239C">
        <w:t> ;</w:t>
      </w:r>
    </w:p>
    <w:p w:rsidR="0058239C" w:rsidRPr="0058239C" w:rsidRDefault="0058239C" w:rsidP="001048E6">
      <w:pPr>
        <w:spacing w:after="120"/>
        <w:jc w:val="both"/>
      </w:pPr>
      <w:r w:rsidRPr="0058239C">
        <w:t>– </w:t>
      </w:r>
      <w:r w:rsidR="001048E6">
        <w:t>des ateliers</w:t>
      </w:r>
      <w:r w:rsidRPr="0058239C">
        <w:t xml:space="preserve">, à l’Assemblée nationale, </w:t>
      </w:r>
      <w:r w:rsidRPr="00570B7F">
        <w:rPr>
          <w:b/>
        </w:rPr>
        <w:t xml:space="preserve">d’ateliers citoyens, réunissant </w:t>
      </w:r>
      <w:r w:rsidR="001048E6" w:rsidRPr="00570B7F">
        <w:rPr>
          <w:b/>
        </w:rPr>
        <w:t>parlementaires et grand public</w:t>
      </w:r>
      <w:r w:rsidR="001048E6">
        <w:t xml:space="preserve">, </w:t>
      </w:r>
      <w:r w:rsidRPr="0058239C">
        <w:t xml:space="preserve">ont eu lieu le 25 novembre 2017, </w:t>
      </w:r>
      <w:r w:rsidR="001048E6">
        <w:t>à l’issu de la consultation.</w:t>
      </w:r>
    </w:p>
    <w:p w:rsidR="0058239C" w:rsidRPr="0058239C" w:rsidRDefault="0058239C" w:rsidP="001048E6">
      <w:pPr>
        <w:spacing w:after="120"/>
        <w:jc w:val="both"/>
      </w:pPr>
      <w:r w:rsidRPr="0058239C">
        <w:t xml:space="preserve">– enfin, les propositions d’engagement ont été rendues publiques à l’occasion de la réunion du Bureau de l’Assemblée nationale du 13 décembre 2017, laissant ainsi la possibilité à la société civile d’en prendre connaissance et de les commenter. </w:t>
      </w:r>
    </w:p>
    <w:p w:rsidR="0058239C" w:rsidRDefault="001048E6" w:rsidP="0058239C">
      <w:pPr>
        <w:jc w:val="both"/>
      </w:pPr>
      <w:r>
        <w:t>L</w:t>
      </w:r>
      <w:r w:rsidR="0058239C" w:rsidRPr="0058239C">
        <w:t>e Bureau de l’Assemblée nationale, plus haute instance collégiale et pluraliste de l’Assemblée nationale, a arrêté des décisions le 24 janvier 2018 et a décidé de les inscrire dans le cadre d’un plan d’action PGO.</w:t>
      </w:r>
    </w:p>
    <w:p w:rsidR="001048E6" w:rsidRDefault="001048E6">
      <w:r>
        <w:br w:type="page"/>
      </w:r>
    </w:p>
    <w:p w:rsidR="001048E6" w:rsidRDefault="001048E6" w:rsidP="001048E6">
      <w:pPr>
        <w:jc w:val="both"/>
      </w:pPr>
      <w:r>
        <w:lastRenderedPageBreak/>
        <w:t xml:space="preserve">Le présent plan d’action, nourri de ce travail de réflexion à l’ampleur inédite, comprend </w:t>
      </w:r>
      <w:r w:rsidRPr="001048E6">
        <w:rPr>
          <w:b/>
        </w:rPr>
        <w:t>17 engagements qui reposent sur quatre grandes initiatives</w:t>
      </w:r>
      <w:r w:rsidRPr="001048E6">
        <w:t> </w:t>
      </w:r>
      <w:r>
        <w:t>:</w:t>
      </w:r>
    </w:p>
    <w:p w:rsidR="001048E6" w:rsidRPr="00980AD5" w:rsidRDefault="001048E6" w:rsidP="001048E6">
      <w:pPr>
        <w:pStyle w:val="Paragraphedeliste"/>
        <w:numPr>
          <w:ilvl w:val="0"/>
          <w:numId w:val="18"/>
        </w:numPr>
        <w:spacing w:after="120"/>
        <w:ind w:left="714" w:hanging="357"/>
        <w:jc w:val="both"/>
      </w:pPr>
      <w:r w:rsidRPr="001048E6">
        <w:rPr>
          <w:b/>
        </w:rPr>
        <w:t>La démarche globale de réforme de l’Assemblée nationale</w:t>
      </w:r>
      <w:r w:rsidRPr="001048E6">
        <w:t xml:space="preserve"> </w:t>
      </w:r>
      <w:r w:rsidRPr="00F36664">
        <w:t>«</w:t>
      </w:r>
      <w:r>
        <w:t> </w:t>
      </w:r>
      <w:r w:rsidRPr="00F36664">
        <w:t>Pour une nouvelle Assemblée nationale</w:t>
      </w:r>
      <w:r>
        <w:t> </w:t>
      </w:r>
      <w:r w:rsidRPr="00F36664">
        <w:t>: Les rendez-vous des réformes 2017-20</w:t>
      </w:r>
      <w:r>
        <w:t>22 </w:t>
      </w:r>
      <w:r w:rsidRPr="00F36664">
        <w:t>»</w:t>
      </w:r>
      <w:r w:rsidRPr="002D1065">
        <w:t>,</w:t>
      </w:r>
      <w:r>
        <w:t xml:space="preserve"> qui vise une modernisation d’ensemble du fonctionnement de l’Assemblée nationale avec une méthodologie ouverte, participative et transparente ;</w:t>
      </w:r>
    </w:p>
    <w:p w:rsidR="001048E6" w:rsidRPr="001048E6" w:rsidRDefault="001048E6" w:rsidP="001048E6">
      <w:pPr>
        <w:pStyle w:val="Paragraphedeliste"/>
        <w:numPr>
          <w:ilvl w:val="0"/>
          <w:numId w:val="18"/>
        </w:numPr>
        <w:jc w:val="both"/>
        <w:rPr>
          <w:i/>
          <w:u w:val="single"/>
        </w:rPr>
      </w:pPr>
      <w:r w:rsidRPr="001048E6">
        <w:rPr>
          <w:b/>
        </w:rPr>
        <w:t>Transparence et ouverture </w:t>
      </w:r>
      <w:r>
        <w:t xml:space="preserve">: Rendre compte du fonctionnement de l’Assemblée nationale est un principe fondamental qui permet de renforcer la confiance entre les citoyens et leurs élus. Des engagements essentiels au rétablissement de liens forts entre l’institution et la société civile sont présentés comme </w:t>
      </w:r>
      <w:r w:rsidRPr="001048E6">
        <w:t>par exemple</w:t>
      </w:r>
      <w:r>
        <w:t xml:space="preserve"> </w:t>
      </w:r>
      <w:r w:rsidRPr="001048E6">
        <w:rPr>
          <w:i/>
          <w:u w:val="single"/>
        </w:rPr>
        <w:t xml:space="preserve">la publication en open source des codes sources de l’Assemblée nationale ou la publication sur la plateforme </w:t>
      </w:r>
      <w:proofErr w:type="spellStart"/>
      <w:r w:rsidRPr="001048E6">
        <w:rPr>
          <w:i/>
          <w:u w:val="single"/>
        </w:rPr>
        <w:t>opendata</w:t>
      </w:r>
      <w:proofErr w:type="spellEnd"/>
      <w:r w:rsidRPr="001048E6">
        <w:rPr>
          <w:i/>
          <w:u w:val="single"/>
        </w:rPr>
        <w:t xml:space="preserve"> de nouveaux jeux de données</w:t>
      </w:r>
      <w:r>
        <w:rPr>
          <w:i/>
          <w:u w:val="single"/>
        </w:rPr>
        <w:t>.</w:t>
      </w:r>
    </w:p>
    <w:p w:rsidR="001048E6" w:rsidRPr="00DA46EF" w:rsidRDefault="001048E6" w:rsidP="001048E6">
      <w:pPr>
        <w:pStyle w:val="Paragraphedeliste"/>
        <w:numPr>
          <w:ilvl w:val="0"/>
          <w:numId w:val="18"/>
        </w:numPr>
        <w:jc w:val="both"/>
      </w:pPr>
      <w:r w:rsidRPr="001048E6">
        <w:rPr>
          <w:b/>
        </w:rPr>
        <w:t>Participation des citoyens</w:t>
      </w:r>
      <w:r w:rsidRPr="00DA46EF">
        <w:t> : Cette partie présente quatre engagements forts qui ont pour ambition de permettre aux citoyens de participer plus activem</w:t>
      </w:r>
      <w:r w:rsidRPr="009B793F">
        <w:t>ent au fonctionnement de l’Assemblée nationale</w:t>
      </w:r>
      <w:r>
        <w:t>,</w:t>
      </w:r>
      <w:r w:rsidRPr="009B793F">
        <w:t xml:space="preserve"> que ce soit </w:t>
      </w:r>
      <w:r>
        <w:t xml:space="preserve">à ses travaux ou à l’utilisation des </w:t>
      </w:r>
      <w:r w:rsidRPr="00DA46EF">
        <w:t>données qu’elle produit</w:t>
      </w:r>
      <w:r>
        <w:t xml:space="preserve"> et diffuse</w:t>
      </w:r>
      <w:r w:rsidRPr="00DA46EF">
        <w:t xml:space="preserve"> (</w:t>
      </w:r>
      <w:r w:rsidRPr="001048E6">
        <w:t>open data</w:t>
      </w:r>
      <w:r w:rsidRPr="00DA46EF">
        <w:t>)</w:t>
      </w:r>
      <w:r>
        <w:t xml:space="preserve"> via le </w:t>
      </w:r>
      <w:r w:rsidRPr="001048E6">
        <w:rPr>
          <w:i/>
          <w:u w:val="single"/>
        </w:rPr>
        <w:t>développement de consultations citoyennes</w:t>
      </w:r>
      <w:r>
        <w:t xml:space="preserve"> par exemple.</w:t>
      </w:r>
    </w:p>
    <w:p w:rsidR="001048E6" w:rsidRPr="0035738B" w:rsidRDefault="001048E6" w:rsidP="001048E6">
      <w:pPr>
        <w:pStyle w:val="Paragraphedeliste"/>
        <w:numPr>
          <w:ilvl w:val="0"/>
          <w:numId w:val="18"/>
        </w:numPr>
        <w:jc w:val="both"/>
      </w:pPr>
      <w:r w:rsidRPr="001048E6">
        <w:rPr>
          <w:b/>
        </w:rPr>
        <w:t>Mieux faire connaître le travail parlementaire</w:t>
      </w:r>
      <w:r w:rsidRPr="00DA46EF">
        <w:t xml:space="preserve"> : </w:t>
      </w:r>
      <w:r>
        <w:t xml:space="preserve">différents acteurs institutionnels ont pour vocation de porter le travail parlementaire à la connaissance des citoyens. Par ailleurs, les députés comme l’Assemblée nationale doivent exploiter les possibilités offertes par le numérique pour communiquer sur leur action en </w:t>
      </w:r>
      <w:r w:rsidRPr="001048E6">
        <w:rPr>
          <w:i/>
          <w:u w:val="single"/>
        </w:rPr>
        <w:t>se formant à l’utilisation des nouvelles technologies ou en diversifiant la communication numérique de l’institution</w:t>
      </w:r>
      <w:r>
        <w:t>.</w:t>
      </w:r>
    </w:p>
    <w:p w:rsidR="0058239C" w:rsidRPr="0058239C" w:rsidRDefault="001048E6" w:rsidP="001048E6">
      <w:pPr>
        <w:jc w:val="both"/>
      </w:pPr>
      <w:r w:rsidRPr="00980AD5">
        <w:t xml:space="preserve">Pour la mise en œuvre de l’ensemble de ces actions, l’Assemblée nationale devra s’appuyer tant sur le grand public que sur les acteurs de la société civile qui s’intéressent au fonctionnement du Parlement, et en particulier sur les </w:t>
      </w:r>
      <w:proofErr w:type="spellStart"/>
      <w:r w:rsidRPr="001048E6">
        <w:t>civic</w:t>
      </w:r>
      <w:proofErr w:type="spellEnd"/>
      <w:r w:rsidRPr="001048E6">
        <w:t xml:space="preserve"> </w:t>
      </w:r>
      <w:proofErr w:type="spellStart"/>
      <w:r w:rsidRPr="001048E6">
        <w:t>tech</w:t>
      </w:r>
      <w:proofErr w:type="spellEnd"/>
      <w:r w:rsidRPr="00980AD5">
        <w:t>, qui ont développé, ces dernières années de nombreux outils qui favorisent la transparence, l’ouverture, la participation et l’adaptation des procédures au numérique.</w:t>
      </w:r>
    </w:p>
    <w:p w:rsidR="0058239C" w:rsidRPr="005F75E4" w:rsidRDefault="0058239C" w:rsidP="0058239C">
      <w:pPr>
        <w:jc w:val="both"/>
        <w:rPr>
          <w:b/>
        </w:rPr>
      </w:pPr>
      <w:r w:rsidRPr="00080D6B">
        <w:t>«</w:t>
      </w:r>
      <w:r>
        <w:t xml:space="preserve"> </w:t>
      </w:r>
      <w:r w:rsidRPr="0058239C">
        <w:rPr>
          <w:i/>
        </w:rPr>
        <w:t>L’ouverture, la transparence et, à travers elles, la rénovation de notre vie publique ont été clairement demandées par nos concitoyens en 2017. Un renouvellement sans précédent, mais aussi un taux d’abstention record, ont exprimé tout à la fois un rejet des vieilles pratiques et une aspiration au renouveau.</w:t>
      </w:r>
      <w:r>
        <w:rPr>
          <w:i/>
        </w:rPr>
        <w:t xml:space="preserve"> Notre volonté de transformer notre pays et de rénover notre démocratie est une réalité. Les « Rendez-vous des réformes 2017-2022 » et ce plan d’action concrétisent cette volonté. </w:t>
      </w:r>
      <w:r w:rsidRPr="0058239C">
        <w:rPr>
          <w:i/>
        </w:rPr>
        <w:t>Les engagements pris par l’Assemblée nationale, combinés aux réformes voulues par le Gouvernement, vont permettre à notre République de faire peau neuve. Contre le populisme et le scepticisme, les réponses ont pour noms réforme et modernité.</w:t>
      </w:r>
      <w:r>
        <w:t xml:space="preserve">» </w:t>
      </w:r>
      <w:r>
        <w:rPr>
          <w:b/>
        </w:rPr>
        <w:t>François de Rugy, Président de l’Assemblée nationale</w:t>
      </w:r>
    </w:p>
    <w:p w:rsidR="00FA37A4" w:rsidRDefault="00FA37A4" w:rsidP="00241598">
      <w:pPr>
        <w:rPr>
          <w:b/>
        </w:rPr>
      </w:pPr>
      <w:r w:rsidRPr="0058239C">
        <w:rPr>
          <w:b/>
        </w:rPr>
        <w:t xml:space="preserve">&gt; Consultez le </w:t>
      </w:r>
      <w:hyperlink r:id="rId12" w:history="1">
        <w:r w:rsidRPr="0058239C">
          <w:rPr>
            <w:rStyle w:val="Lienhypertexte"/>
            <w:b/>
          </w:rPr>
          <w:t>Plan d’action Parlement ouvert</w:t>
        </w:r>
      </w:hyperlink>
      <w:r w:rsidR="00695C42">
        <w:rPr>
          <w:i/>
        </w:rPr>
        <w:t xml:space="preserve"> </w:t>
      </w:r>
    </w:p>
    <w:p w:rsidR="001048E6" w:rsidRDefault="001048E6" w:rsidP="00CB62AE">
      <w:pPr>
        <w:rPr>
          <w:b/>
        </w:rPr>
      </w:pPr>
    </w:p>
    <w:p w:rsidR="001048E6" w:rsidRDefault="001048E6" w:rsidP="00CB62AE">
      <w:pPr>
        <w:rPr>
          <w:b/>
        </w:rPr>
      </w:pPr>
    </w:p>
    <w:p w:rsidR="001048E6" w:rsidRPr="00E85F3A" w:rsidRDefault="001048E6" w:rsidP="00CB62AE">
      <w:pPr>
        <w:rPr>
          <w:rStyle w:val="Lienhypertexte"/>
          <w:b/>
        </w:rPr>
      </w:pPr>
    </w:p>
    <w:p w:rsidR="00385A8E" w:rsidRPr="00156398" w:rsidRDefault="00156398" w:rsidP="00156398">
      <w:pPr>
        <w:spacing w:before="100" w:beforeAutospacing="1" w:after="100" w:afterAutospacing="1" w:line="240" w:lineRule="auto"/>
        <w:jc w:val="both"/>
        <w:rPr>
          <w:rFonts w:eastAsia="Times New Roman" w:cs="Times New Roman"/>
          <w:iCs/>
          <w:lang w:eastAsia="fr-FR"/>
        </w:rPr>
      </w:pPr>
      <w:r w:rsidRPr="00720C8B">
        <w:rPr>
          <w:rFonts w:eastAsia="Times New Roman" w:cs="Times New Roman"/>
          <w:iCs/>
          <w:lang w:eastAsia="fr-FR"/>
        </w:rPr>
        <w:lastRenderedPageBreak/>
        <w:t>Des photos et contacts pour témoignages peuvent être transmis sur demande.</w:t>
      </w:r>
    </w:p>
    <w:tbl>
      <w:tblPr>
        <w:tblStyle w:val="Grilledutableau"/>
        <w:tblW w:w="0" w:type="auto"/>
        <w:tblLook w:val="04A0" w:firstRow="1" w:lastRow="0" w:firstColumn="1" w:lastColumn="0" w:noHBand="0" w:noVBand="1"/>
      </w:tblPr>
      <w:tblGrid>
        <w:gridCol w:w="9212"/>
      </w:tblGrid>
      <w:tr w:rsidR="00080D6B" w:rsidTr="00080D6B">
        <w:tc>
          <w:tcPr>
            <w:tcW w:w="9212" w:type="dxa"/>
          </w:tcPr>
          <w:p w:rsidR="00F458E6" w:rsidRDefault="00F458E6" w:rsidP="005F75E4">
            <w:pPr>
              <w:jc w:val="both"/>
            </w:pPr>
            <w:r>
              <w:t>Créé</w:t>
            </w:r>
            <w:r w:rsidR="00080D6B" w:rsidRPr="007019D3">
              <w:t xml:space="preserve"> en septembre 2011</w:t>
            </w:r>
            <w:r w:rsidR="00080D6B">
              <w:t>, le Partenariat pour un g</w:t>
            </w:r>
            <w:r w:rsidR="00080D6B" w:rsidRPr="007019D3">
              <w:t xml:space="preserve">ouvernement ouvert </w:t>
            </w:r>
            <w:r w:rsidR="00080D6B">
              <w:t xml:space="preserve">(PGO) rassemble 75 </w:t>
            </w:r>
            <w:r w:rsidR="005F75E4">
              <w:t xml:space="preserve">pays </w:t>
            </w:r>
            <w:r w:rsidR="00080D6B">
              <w:t>et des centaines d’organisations de la société civile qui s’engagent à faire avancer la transparence de la vie publique, la participation citoyenne et l’innovation démocratique.</w:t>
            </w:r>
          </w:p>
          <w:p w:rsidR="00F458E6" w:rsidRDefault="00F458E6" w:rsidP="00B958C7">
            <w:pPr>
              <w:jc w:val="both"/>
            </w:pPr>
          </w:p>
          <w:p w:rsidR="00617C7D" w:rsidRDefault="00080D6B" w:rsidP="00B958C7">
            <w:pPr>
              <w:jc w:val="both"/>
            </w:pPr>
            <w:r>
              <w:t xml:space="preserve">La France a rejoint le PGO en 2014 et publié un premier </w:t>
            </w:r>
            <w:hyperlink r:id="rId13" w:history="1">
              <w:r w:rsidRPr="007019D3">
                <w:rPr>
                  <w:rStyle w:val="Lienhypertexte"/>
                </w:rPr>
                <w:t>Plan d’action national pour une action publique transparente et collaborative pour la période 2015 - 2017</w:t>
              </w:r>
            </w:hyperlink>
            <w:r w:rsidR="00241598">
              <w:t xml:space="preserve"> (</w:t>
            </w:r>
            <w:proofErr w:type="spellStart"/>
            <w:r w:rsidR="00241598">
              <w:t>pdf</w:t>
            </w:r>
            <w:proofErr w:type="spellEnd"/>
            <w:r w:rsidR="00241598">
              <w:t>),</w:t>
            </w:r>
            <w:r>
              <w:t xml:space="preserve"> dont la mise en œuvre a été évaluée par un organisme indépendant. Co-présidente du PGO pendant une année, la France a accueilli en décembre 2016 à Paris le </w:t>
            </w:r>
            <w:hyperlink r:id="rId14" w:history="1">
              <w:r w:rsidRPr="00080D6B">
                <w:rPr>
                  <w:rStyle w:val="Lienhypertexte"/>
                </w:rPr>
                <w:t>Sommet mondial du Partenariat pour un gouvernement ouvert</w:t>
              </w:r>
            </w:hyperlink>
            <w:r>
              <w:t xml:space="preserve">, à l’issue duquel fut </w:t>
            </w:r>
            <w:r w:rsidR="00F36324">
              <w:t>adoptée la Déclaration de Paris</w:t>
            </w:r>
            <w:r w:rsidR="00617C7D">
              <w:t>, qui recen</w:t>
            </w:r>
            <w:r w:rsidR="00156398">
              <w:t>se les 20 actions collectives</w:t>
            </w:r>
            <w:r w:rsidR="00617C7D">
              <w:t xml:space="preserve"> </w:t>
            </w:r>
            <w:r w:rsidR="00156398">
              <w:t>actuellement mises en œuvre par</w:t>
            </w:r>
            <w:r w:rsidR="00617C7D">
              <w:t xml:space="preserve"> l’ensemble de la communauté </w:t>
            </w:r>
            <w:r w:rsidR="00156398">
              <w:t>du gouvernement ouvert</w:t>
            </w:r>
            <w:r w:rsidR="00617C7D">
              <w:t>.</w:t>
            </w:r>
            <w:r w:rsidR="00F36324">
              <w:t xml:space="preserve"> </w:t>
            </w:r>
          </w:p>
          <w:p w:rsidR="00F458E6" w:rsidRDefault="00F458E6" w:rsidP="00B958C7">
            <w:pPr>
              <w:jc w:val="both"/>
            </w:pPr>
          </w:p>
          <w:p w:rsidR="00B958C7" w:rsidRDefault="00B958C7" w:rsidP="00B958C7">
            <w:pPr>
              <w:jc w:val="both"/>
            </w:pPr>
            <w:r>
              <w:t>Le prochain Sommet du PGO aura lieu à Tbilissi du 17 au 19 juillet 2018.</w:t>
            </w:r>
          </w:p>
        </w:tc>
      </w:tr>
    </w:tbl>
    <w:p w:rsidR="003B0A97" w:rsidRPr="00720C8B" w:rsidRDefault="003B0A97" w:rsidP="005B012D">
      <w:pPr>
        <w:spacing w:before="100" w:beforeAutospacing="1" w:after="100" w:afterAutospacing="1" w:line="240" w:lineRule="auto"/>
        <w:jc w:val="both"/>
        <w:rPr>
          <w:rFonts w:eastAsia="Times New Roman" w:cs="Times New Roman"/>
          <w:iCs/>
          <w:lang w:eastAsia="fr-FR"/>
        </w:rPr>
      </w:pPr>
    </w:p>
    <w:p w:rsidR="0058239C" w:rsidRDefault="00240171" w:rsidP="009B1016">
      <w:pPr>
        <w:spacing w:before="100" w:beforeAutospacing="1" w:after="100" w:afterAutospacing="1" w:line="240" w:lineRule="auto"/>
        <w:jc w:val="center"/>
        <w:rPr>
          <w:b/>
          <w:bCs/>
        </w:rPr>
      </w:pPr>
      <w:r w:rsidRPr="007B0080">
        <w:rPr>
          <w:b/>
          <w:bCs/>
        </w:rPr>
        <w:t>Contact</w:t>
      </w:r>
      <w:r w:rsidR="00F458E6">
        <w:rPr>
          <w:b/>
          <w:bCs/>
        </w:rPr>
        <w:t>s</w:t>
      </w:r>
      <w:r w:rsidRPr="007B0080">
        <w:rPr>
          <w:b/>
          <w:bCs/>
        </w:rPr>
        <w:t xml:space="preserve"> presse</w:t>
      </w:r>
      <w:r w:rsidR="006978E8">
        <w:rPr>
          <w:b/>
          <w:bCs/>
        </w:rPr>
        <w:t xml:space="preserve"> </w:t>
      </w:r>
    </w:p>
    <w:p w:rsidR="00106CCC" w:rsidRDefault="00570B7F" w:rsidP="009B1016">
      <w:pPr>
        <w:spacing w:before="100" w:beforeAutospacing="1" w:after="100" w:afterAutospacing="1" w:line="240" w:lineRule="auto"/>
        <w:jc w:val="center"/>
        <w:rPr>
          <w:bCs/>
        </w:rPr>
      </w:pPr>
      <w:r>
        <w:rPr>
          <w:bCs/>
        </w:rPr>
        <w:t xml:space="preserve">Maelle </w:t>
      </w:r>
      <w:proofErr w:type="spellStart"/>
      <w:r>
        <w:rPr>
          <w:bCs/>
        </w:rPr>
        <w:t>Charreau</w:t>
      </w:r>
      <w:proofErr w:type="spellEnd"/>
      <w:r>
        <w:rPr>
          <w:bCs/>
        </w:rPr>
        <w:t xml:space="preserve"> – </w:t>
      </w:r>
      <w:hyperlink r:id="rId15" w:history="1">
        <w:r w:rsidRPr="00611513">
          <w:rPr>
            <w:rStyle w:val="Lienhypertexte"/>
            <w:bCs/>
          </w:rPr>
          <w:t>presse@numerique.gouv.fr</w:t>
        </w:r>
      </w:hyperlink>
      <w:r>
        <w:rPr>
          <w:bCs/>
        </w:rPr>
        <w:t xml:space="preserve"> </w:t>
      </w:r>
      <w:r w:rsidR="00695C42">
        <w:rPr>
          <w:bCs/>
        </w:rPr>
        <w:t>–</w:t>
      </w:r>
      <w:r>
        <w:rPr>
          <w:bCs/>
        </w:rPr>
        <w:t xml:space="preserve"> 01</w:t>
      </w:r>
      <w:r w:rsidR="00695C42">
        <w:rPr>
          <w:bCs/>
        </w:rPr>
        <w:t>.</w:t>
      </w:r>
      <w:r>
        <w:rPr>
          <w:bCs/>
        </w:rPr>
        <w:t>42</w:t>
      </w:r>
      <w:r w:rsidR="00695C42">
        <w:rPr>
          <w:bCs/>
        </w:rPr>
        <w:t>.</w:t>
      </w:r>
      <w:r>
        <w:rPr>
          <w:bCs/>
        </w:rPr>
        <w:t>75</w:t>
      </w:r>
      <w:r w:rsidR="00695C42">
        <w:rPr>
          <w:bCs/>
        </w:rPr>
        <w:t>.</w:t>
      </w:r>
      <w:r>
        <w:rPr>
          <w:bCs/>
        </w:rPr>
        <w:t>77</w:t>
      </w:r>
      <w:r w:rsidR="00695C42">
        <w:rPr>
          <w:bCs/>
        </w:rPr>
        <w:t>.</w:t>
      </w:r>
      <w:r>
        <w:rPr>
          <w:bCs/>
        </w:rPr>
        <w:t>22</w:t>
      </w:r>
    </w:p>
    <w:p w:rsidR="00695C42" w:rsidRDefault="008C58CD" w:rsidP="00281EA9">
      <w:pPr>
        <w:spacing w:before="100" w:beforeAutospacing="1" w:after="100" w:afterAutospacing="1" w:line="240" w:lineRule="auto"/>
        <w:jc w:val="center"/>
        <w:rPr>
          <w:rFonts w:eastAsiaTheme="minorEastAsia"/>
          <w:noProof/>
          <w:lang w:eastAsia="fr-FR"/>
        </w:rPr>
      </w:pPr>
      <w:r>
        <w:t>Isaline Aubin</w:t>
      </w:r>
      <w:r w:rsidR="00695C42">
        <w:t xml:space="preserve"> </w:t>
      </w:r>
      <w:r w:rsidR="00695C42">
        <w:rPr>
          <w:bCs/>
        </w:rPr>
        <w:t>–</w:t>
      </w:r>
      <w:r w:rsidR="00695C42">
        <w:t xml:space="preserve"> </w:t>
      </w:r>
      <w:hyperlink r:id="rId16" w:history="1">
        <w:r w:rsidR="00281EA9" w:rsidRPr="009B01F8">
          <w:rPr>
            <w:rStyle w:val="Lienhypertexte"/>
          </w:rPr>
          <w:t>communication.dinsic@modernisation.gouv.fr</w:t>
        </w:r>
      </w:hyperlink>
      <w:r w:rsidR="00281EA9">
        <w:t xml:space="preserve"> </w:t>
      </w:r>
      <w:r w:rsidR="000F30FD">
        <w:rPr>
          <w:bCs/>
        </w:rPr>
        <w:t xml:space="preserve">–  </w:t>
      </w:r>
      <w:r>
        <w:t>01.</w:t>
      </w:r>
      <w:r w:rsidRPr="008C58CD">
        <w:t>71</w:t>
      </w:r>
      <w:r>
        <w:t>.</w:t>
      </w:r>
      <w:r w:rsidRPr="008C58CD">
        <w:t>21</w:t>
      </w:r>
      <w:r>
        <w:t>.</w:t>
      </w:r>
      <w:r w:rsidRPr="008C58CD">
        <w:t>10</w:t>
      </w:r>
      <w:r>
        <w:t>.</w:t>
      </w:r>
      <w:r w:rsidRPr="008C58CD">
        <w:t>28</w:t>
      </w:r>
      <w:r w:rsidR="00695C42">
        <w:rPr>
          <w:rFonts w:eastAsiaTheme="minorEastAsia"/>
          <w:noProof/>
          <w:lang w:eastAsia="fr-FR"/>
        </w:rPr>
        <w:t xml:space="preserve"> </w:t>
      </w:r>
    </w:p>
    <w:p w:rsidR="00F458E6" w:rsidRPr="009B1016" w:rsidRDefault="00695C42" w:rsidP="0035269F">
      <w:pPr>
        <w:spacing w:before="100" w:beforeAutospacing="1" w:after="100" w:afterAutospacing="1" w:line="240" w:lineRule="auto"/>
        <w:jc w:val="center"/>
        <w:rPr>
          <w:rFonts w:eastAsiaTheme="minorEastAsia"/>
          <w:noProof/>
          <w:lang w:eastAsia="fr-FR"/>
        </w:rPr>
      </w:pPr>
      <w:r w:rsidRPr="007B0080">
        <w:t xml:space="preserve"> </w:t>
      </w:r>
      <w:r w:rsidR="0058239C">
        <w:t xml:space="preserve">Margaux </w:t>
      </w:r>
      <w:proofErr w:type="spellStart"/>
      <w:r w:rsidR="0058239C">
        <w:t>Pech</w:t>
      </w:r>
      <w:proofErr w:type="spellEnd"/>
      <w:r w:rsidR="0058239C">
        <w:t xml:space="preserve"> – </w:t>
      </w:r>
      <w:hyperlink r:id="rId17" w:history="1">
        <w:r w:rsidRPr="00AD0014">
          <w:rPr>
            <w:rStyle w:val="Lienhypertexte"/>
          </w:rPr>
          <w:t>presse.presidence@assemblee-nationale.fr</w:t>
        </w:r>
      </w:hyperlink>
      <w:bookmarkStart w:id="0" w:name="_GoBack"/>
      <w:bookmarkEnd w:id="0"/>
    </w:p>
    <w:sectPr w:rsidR="00F458E6" w:rsidRPr="009B1016" w:rsidSect="00AA7393">
      <w:headerReference w:type="default" r:id="rId18"/>
      <w:footerReference w:type="default" r:id="rId19"/>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CE" w:rsidRDefault="00E679CE" w:rsidP="004F736E">
      <w:pPr>
        <w:spacing w:after="0" w:line="240" w:lineRule="auto"/>
      </w:pPr>
      <w:r>
        <w:separator/>
      </w:r>
    </w:p>
  </w:endnote>
  <w:endnote w:type="continuationSeparator" w:id="0">
    <w:p w:rsidR="00E679CE" w:rsidRDefault="00E679CE" w:rsidP="004F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ontserrat ExtraLight">
    <w:altName w:val="Liberation Mono"/>
    <w:charset w:val="00"/>
    <w:family w:val="auto"/>
    <w:pitch w:val="variable"/>
    <w:sig w:usb0="00000001"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676442"/>
      <w:docPartObj>
        <w:docPartGallery w:val="Page Numbers (Bottom of Page)"/>
        <w:docPartUnique/>
      </w:docPartObj>
    </w:sdtPr>
    <w:sdtContent>
      <w:p w:rsidR="00C25755" w:rsidRDefault="00C25755">
        <w:pPr>
          <w:pStyle w:val="Pieddepage"/>
          <w:jc w:val="right"/>
        </w:pPr>
        <w:r>
          <w:fldChar w:fldCharType="begin"/>
        </w:r>
        <w:r>
          <w:instrText>PAGE   \* MERGEFORMAT</w:instrText>
        </w:r>
        <w:r>
          <w:fldChar w:fldCharType="separate"/>
        </w:r>
        <w:r w:rsidR="0035269F">
          <w:rPr>
            <w:noProof/>
          </w:rPr>
          <w:t>5</w:t>
        </w:r>
        <w:r>
          <w:fldChar w:fldCharType="end"/>
        </w:r>
      </w:p>
    </w:sdtContent>
  </w:sdt>
  <w:p w:rsidR="00C716EF" w:rsidRDefault="00C716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CE" w:rsidRDefault="00E679CE" w:rsidP="004F736E">
      <w:pPr>
        <w:spacing w:after="0" w:line="240" w:lineRule="auto"/>
      </w:pPr>
      <w:r>
        <w:separator/>
      </w:r>
    </w:p>
  </w:footnote>
  <w:footnote w:type="continuationSeparator" w:id="0">
    <w:p w:rsidR="00E679CE" w:rsidRDefault="00E679CE" w:rsidP="004F736E">
      <w:pPr>
        <w:spacing w:after="0" w:line="240" w:lineRule="auto"/>
      </w:pPr>
      <w:r>
        <w:continuationSeparator/>
      </w:r>
    </w:p>
  </w:footnote>
  <w:footnote w:id="1">
    <w:p w:rsidR="0058239C" w:rsidRPr="005C3802" w:rsidRDefault="0058239C" w:rsidP="0058239C">
      <w:pPr>
        <w:pStyle w:val="Notedebasdepage"/>
      </w:pPr>
      <w:r w:rsidRPr="005C3802">
        <w:rPr>
          <w:rStyle w:val="Appelnotedebasdep"/>
        </w:rPr>
        <w:footnoteRef/>
      </w:r>
      <w:r w:rsidRPr="005C3802">
        <w:tab/>
        <w:t>Les résultats de cette consultation ont été publiés en annexe du rapport des groupes de travail.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69" w:rsidRDefault="00736469" w:rsidP="00736469">
    <w:pPr>
      <w:pStyle w:val="En-tte"/>
      <w:jc w:val="right"/>
      <w:rPr>
        <w:i/>
        <w:color w:val="808080" w:themeColor="background1" w:themeShade="80"/>
      </w:rPr>
    </w:pPr>
  </w:p>
  <w:p w:rsidR="00736469" w:rsidRDefault="00736469" w:rsidP="004F736E">
    <w:pPr>
      <w:pStyle w:val="En-tte"/>
      <w:jc w:val="right"/>
      <w:rPr>
        <w:i/>
        <w:color w:val="808080" w:themeColor="background1" w:themeShade="80"/>
      </w:rPr>
    </w:pPr>
  </w:p>
  <w:p w:rsidR="00736469" w:rsidRDefault="00736469" w:rsidP="004F736E">
    <w:pPr>
      <w:pStyle w:val="En-tte"/>
      <w:jc w:val="right"/>
      <w:rPr>
        <w:i/>
        <w:color w:val="808080" w:themeColor="background1" w:themeShade="80"/>
      </w:rPr>
    </w:pPr>
  </w:p>
  <w:p w:rsidR="004F736E" w:rsidRDefault="004F736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07B"/>
    <w:multiLevelType w:val="hybridMultilevel"/>
    <w:tmpl w:val="E486A740"/>
    <w:lvl w:ilvl="0" w:tplc="4A30A3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6839B6"/>
    <w:multiLevelType w:val="hybridMultilevel"/>
    <w:tmpl w:val="4FAE3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232B58"/>
    <w:multiLevelType w:val="hybridMultilevel"/>
    <w:tmpl w:val="93720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4F54CB"/>
    <w:multiLevelType w:val="hybridMultilevel"/>
    <w:tmpl w:val="AC1AFD3C"/>
    <w:lvl w:ilvl="0" w:tplc="32C295C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8C0F27"/>
    <w:multiLevelType w:val="hybridMultilevel"/>
    <w:tmpl w:val="C0449122"/>
    <w:lvl w:ilvl="0" w:tplc="71E033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31237A"/>
    <w:multiLevelType w:val="hybridMultilevel"/>
    <w:tmpl w:val="57166A20"/>
    <w:lvl w:ilvl="0" w:tplc="86F62E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BDC2DDB"/>
    <w:multiLevelType w:val="hybridMultilevel"/>
    <w:tmpl w:val="B364AC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5F5D48"/>
    <w:multiLevelType w:val="hybridMultilevel"/>
    <w:tmpl w:val="F6C0AC10"/>
    <w:lvl w:ilvl="0" w:tplc="CAA22FA4">
      <w:start w:val="1996"/>
      <w:numFmt w:val="bullet"/>
      <w:lvlText w:val="-"/>
      <w:lvlJc w:val="left"/>
      <w:pPr>
        <w:ind w:left="720" w:hanging="360"/>
      </w:pPr>
      <w:rPr>
        <w:rFonts w:ascii="Times New Roman" w:eastAsia="Times New Roman"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810C34"/>
    <w:multiLevelType w:val="hybridMultilevel"/>
    <w:tmpl w:val="4B5C9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2E274EE"/>
    <w:multiLevelType w:val="hybridMultilevel"/>
    <w:tmpl w:val="26E0CE62"/>
    <w:lvl w:ilvl="0" w:tplc="F6DAD55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42971D9"/>
    <w:multiLevelType w:val="hybridMultilevel"/>
    <w:tmpl w:val="C724616A"/>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58149C"/>
    <w:multiLevelType w:val="hybridMultilevel"/>
    <w:tmpl w:val="203CE4E6"/>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FEF214C"/>
    <w:multiLevelType w:val="hybridMultilevel"/>
    <w:tmpl w:val="AB5099D4"/>
    <w:lvl w:ilvl="0" w:tplc="F4F6323E">
      <w:start w:val="1"/>
      <w:numFmt w:val="bullet"/>
      <w:lvlText w:val=""/>
      <w:lvlJc w:val="left"/>
      <w:pPr>
        <w:ind w:left="720" w:hanging="360"/>
      </w:pPr>
      <w:rPr>
        <w:rFonts w:ascii="Symbol" w:hAnsi="Symbol" w:hint="default"/>
        <w:color w:val="00508C"/>
      </w:rPr>
    </w:lvl>
    <w:lvl w:ilvl="1" w:tplc="D390C13C">
      <w:numFmt w:val="bullet"/>
      <w:lvlText w:val="–"/>
      <w:lvlJc w:val="left"/>
      <w:pPr>
        <w:ind w:left="1440" w:hanging="360"/>
      </w:pPr>
      <w:rPr>
        <w:rFonts w:ascii="Montserrat ExtraLight" w:eastAsiaTheme="minorHAnsi" w:hAnsi="Montserrat ExtraLight"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0FB3D4B"/>
    <w:multiLevelType w:val="hybridMultilevel"/>
    <w:tmpl w:val="3A4CD0C8"/>
    <w:lvl w:ilvl="0" w:tplc="C5C6E82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8F7276"/>
    <w:multiLevelType w:val="hybridMultilevel"/>
    <w:tmpl w:val="17543D04"/>
    <w:lvl w:ilvl="0" w:tplc="040C0005">
      <w:start w:val="1"/>
      <w:numFmt w:val="bullet"/>
      <w:lvlText w:val=""/>
      <w:lvlJc w:val="left"/>
      <w:pPr>
        <w:ind w:left="720" w:hanging="360"/>
      </w:pPr>
      <w:rPr>
        <w:rFonts w:ascii="Wingdings" w:hAnsi="Wingdings" w:hint="default"/>
        <w:color w:val="E36C0A" w:themeColor="accent6"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8C77A6E"/>
    <w:multiLevelType w:val="hybridMultilevel"/>
    <w:tmpl w:val="22CEA9F4"/>
    <w:lvl w:ilvl="0" w:tplc="040C0001">
      <w:start w:val="1"/>
      <w:numFmt w:val="bullet"/>
      <w:lvlText w:val=""/>
      <w:lvlJc w:val="left"/>
      <w:pPr>
        <w:ind w:left="911" w:hanging="360"/>
      </w:pPr>
      <w:rPr>
        <w:rFonts w:ascii="Symbol" w:hAnsi="Symbol" w:hint="default"/>
      </w:rPr>
    </w:lvl>
    <w:lvl w:ilvl="1" w:tplc="040C0003" w:tentative="1">
      <w:start w:val="1"/>
      <w:numFmt w:val="bullet"/>
      <w:lvlText w:val="o"/>
      <w:lvlJc w:val="left"/>
      <w:pPr>
        <w:ind w:left="1631" w:hanging="360"/>
      </w:pPr>
      <w:rPr>
        <w:rFonts w:ascii="Courier New" w:hAnsi="Courier New" w:cs="Courier New" w:hint="default"/>
      </w:rPr>
    </w:lvl>
    <w:lvl w:ilvl="2" w:tplc="040C0005" w:tentative="1">
      <w:start w:val="1"/>
      <w:numFmt w:val="bullet"/>
      <w:lvlText w:val=""/>
      <w:lvlJc w:val="left"/>
      <w:pPr>
        <w:ind w:left="2351" w:hanging="360"/>
      </w:pPr>
      <w:rPr>
        <w:rFonts w:ascii="Wingdings" w:hAnsi="Wingdings" w:hint="default"/>
      </w:rPr>
    </w:lvl>
    <w:lvl w:ilvl="3" w:tplc="040C0001" w:tentative="1">
      <w:start w:val="1"/>
      <w:numFmt w:val="bullet"/>
      <w:lvlText w:val=""/>
      <w:lvlJc w:val="left"/>
      <w:pPr>
        <w:ind w:left="3071" w:hanging="360"/>
      </w:pPr>
      <w:rPr>
        <w:rFonts w:ascii="Symbol" w:hAnsi="Symbol" w:hint="default"/>
      </w:rPr>
    </w:lvl>
    <w:lvl w:ilvl="4" w:tplc="040C0003" w:tentative="1">
      <w:start w:val="1"/>
      <w:numFmt w:val="bullet"/>
      <w:lvlText w:val="o"/>
      <w:lvlJc w:val="left"/>
      <w:pPr>
        <w:ind w:left="3791" w:hanging="360"/>
      </w:pPr>
      <w:rPr>
        <w:rFonts w:ascii="Courier New" w:hAnsi="Courier New" w:cs="Courier New" w:hint="default"/>
      </w:rPr>
    </w:lvl>
    <w:lvl w:ilvl="5" w:tplc="040C0005" w:tentative="1">
      <w:start w:val="1"/>
      <w:numFmt w:val="bullet"/>
      <w:lvlText w:val=""/>
      <w:lvlJc w:val="left"/>
      <w:pPr>
        <w:ind w:left="4511" w:hanging="360"/>
      </w:pPr>
      <w:rPr>
        <w:rFonts w:ascii="Wingdings" w:hAnsi="Wingdings" w:hint="default"/>
      </w:rPr>
    </w:lvl>
    <w:lvl w:ilvl="6" w:tplc="040C0001" w:tentative="1">
      <w:start w:val="1"/>
      <w:numFmt w:val="bullet"/>
      <w:lvlText w:val=""/>
      <w:lvlJc w:val="left"/>
      <w:pPr>
        <w:ind w:left="5231" w:hanging="360"/>
      </w:pPr>
      <w:rPr>
        <w:rFonts w:ascii="Symbol" w:hAnsi="Symbol" w:hint="default"/>
      </w:rPr>
    </w:lvl>
    <w:lvl w:ilvl="7" w:tplc="040C0003" w:tentative="1">
      <w:start w:val="1"/>
      <w:numFmt w:val="bullet"/>
      <w:lvlText w:val="o"/>
      <w:lvlJc w:val="left"/>
      <w:pPr>
        <w:ind w:left="5951" w:hanging="360"/>
      </w:pPr>
      <w:rPr>
        <w:rFonts w:ascii="Courier New" w:hAnsi="Courier New" w:cs="Courier New" w:hint="default"/>
      </w:rPr>
    </w:lvl>
    <w:lvl w:ilvl="8" w:tplc="040C0005" w:tentative="1">
      <w:start w:val="1"/>
      <w:numFmt w:val="bullet"/>
      <w:lvlText w:val=""/>
      <w:lvlJc w:val="left"/>
      <w:pPr>
        <w:ind w:left="6671" w:hanging="360"/>
      </w:pPr>
      <w:rPr>
        <w:rFonts w:ascii="Wingdings" w:hAnsi="Wingdings" w:hint="default"/>
      </w:rPr>
    </w:lvl>
  </w:abstractNum>
  <w:abstractNum w:abstractNumId="16">
    <w:nsid w:val="77490D80"/>
    <w:multiLevelType w:val="hybridMultilevel"/>
    <w:tmpl w:val="3DA2D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FBA4F31"/>
    <w:multiLevelType w:val="hybridMultilevel"/>
    <w:tmpl w:val="6A5E0548"/>
    <w:lvl w:ilvl="0" w:tplc="EC6C94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9"/>
  </w:num>
  <w:num w:numId="5">
    <w:abstractNumId w:val="14"/>
  </w:num>
  <w:num w:numId="6">
    <w:abstractNumId w:val="8"/>
  </w:num>
  <w:num w:numId="7">
    <w:abstractNumId w:val="1"/>
  </w:num>
  <w:num w:numId="8">
    <w:abstractNumId w:val="15"/>
  </w:num>
  <w:num w:numId="9">
    <w:abstractNumId w:val="5"/>
  </w:num>
  <w:num w:numId="10">
    <w:abstractNumId w:val="0"/>
  </w:num>
  <w:num w:numId="11">
    <w:abstractNumId w:val="17"/>
  </w:num>
  <w:num w:numId="12">
    <w:abstractNumId w:val="13"/>
  </w:num>
  <w:num w:numId="13">
    <w:abstractNumId w:val="16"/>
  </w:num>
  <w:num w:numId="14">
    <w:abstractNumId w:val="4"/>
  </w:num>
  <w:num w:numId="15">
    <w:abstractNumId w:val="6"/>
  </w:num>
  <w:num w:numId="16">
    <w:abstractNumId w:val="3"/>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DF7"/>
    <w:rsid w:val="00002487"/>
    <w:rsid w:val="00014231"/>
    <w:rsid w:val="00020E5E"/>
    <w:rsid w:val="00024517"/>
    <w:rsid w:val="000254D0"/>
    <w:rsid w:val="0002636A"/>
    <w:rsid w:val="0004753B"/>
    <w:rsid w:val="000611D3"/>
    <w:rsid w:val="000635D2"/>
    <w:rsid w:val="000645F0"/>
    <w:rsid w:val="00070260"/>
    <w:rsid w:val="00080D6B"/>
    <w:rsid w:val="00081019"/>
    <w:rsid w:val="00081840"/>
    <w:rsid w:val="00094BDF"/>
    <w:rsid w:val="000A254A"/>
    <w:rsid w:val="000E05DE"/>
    <w:rsid w:val="000F30FD"/>
    <w:rsid w:val="001048E6"/>
    <w:rsid w:val="0010592E"/>
    <w:rsid w:val="00106CCC"/>
    <w:rsid w:val="001121C1"/>
    <w:rsid w:val="001176AB"/>
    <w:rsid w:val="0012337D"/>
    <w:rsid w:val="0012560C"/>
    <w:rsid w:val="0014443F"/>
    <w:rsid w:val="001467CF"/>
    <w:rsid w:val="00156398"/>
    <w:rsid w:val="00165593"/>
    <w:rsid w:val="00177007"/>
    <w:rsid w:val="001A7597"/>
    <w:rsid w:val="001E2D04"/>
    <w:rsid w:val="001F1E56"/>
    <w:rsid w:val="001F4730"/>
    <w:rsid w:val="001F703B"/>
    <w:rsid w:val="00223BB3"/>
    <w:rsid w:val="00240171"/>
    <w:rsid w:val="00241598"/>
    <w:rsid w:val="00250B97"/>
    <w:rsid w:val="00281EA9"/>
    <w:rsid w:val="00292AA8"/>
    <w:rsid w:val="002B6FD7"/>
    <w:rsid w:val="002D4976"/>
    <w:rsid w:val="0031187D"/>
    <w:rsid w:val="00313D8C"/>
    <w:rsid w:val="0035269F"/>
    <w:rsid w:val="003637D9"/>
    <w:rsid w:val="00385A8E"/>
    <w:rsid w:val="00392E16"/>
    <w:rsid w:val="003A033F"/>
    <w:rsid w:val="003B0A97"/>
    <w:rsid w:val="003C3D00"/>
    <w:rsid w:val="0041665E"/>
    <w:rsid w:val="00432785"/>
    <w:rsid w:val="00452AA4"/>
    <w:rsid w:val="00466067"/>
    <w:rsid w:val="004705DF"/>
    <w:rsid w:val="004941C3"/>
    <w:rsid w:val="004B005D"/>
    <w:rsid w:val="004D699A"/>
    <w:rsid w:val="004F6AA6"/>
    <w:rsid w:val="004F736E"/>
    <w:rsid w:val="00524462"/>
    <w:rsid w:val="0053770D"/>
    <w:rsid w:val="00554FF2"/>
    <w:rsid w:val="00570B7F"/>
    <w:rsid w:val="0058239C"/>
    <w:rsid w:val="005B012D"/>
    <w:rsid w:val="005B4282"/>
    <w:rsid w:val="005B4A7F"/>
    <w:rsid w:val="005F6959"/>
    <w:rsid w:val="005F75E4"/>
    <w:rsid w:val="00617C7D"/>
    <w:rsid w:val="00651DF6"/>
    <w:rsid w:val="0065294A"/>
    <w:rsid w:val="0065417E"/>
    <w:rsid w:val="006568EA"/>
    <w:rsid w:val="00660B92"/>
    <w:rsid w:val="00660C18"/>
    <w:rsid w:val="00695C42"/>
    <w:rsid w:val="00696FA3"/>
    <w:rsid w:val="006978E8"/>
    <w:rsid w:val="006C4771"/>
    <w:rsid w:val="006C62C3"/>
    <w:rsid w:val="006F7B63"/>
    <w:rsid w:val="007019D3"/>
    <w:rsid w:val="00720C8B"/>
    <w:rsid w:val="00736469"/>
    <w:rsid w:val="007A66C7"/>
    <w:rsid w:val="007B0080"/>
    <w:rsid w:val="007D78E3"/>
    <w:rsid w:val="007E1BC1"/>
    <w:rsid w:val="00805899"/>
    <w:rsid w:val="00805D9B"/>
    <w:rsid w:val="00845341"/>
    <w:rsid w:val="008518F3"/>
    <w:rsid w:val="00854AC5"/>
    <w:rsid w:val="00870F20"/>
    <w:rsid w:val="00877726"/>
    <w:rsid w:val="00892065"/>
    <w:rsid w:val="008A1EE7"/>
    <w:rsid w:val="008B4AA6"/>
    <w:rsid w:val="008C58CD"/>
    <w:rsid w:val="008F000B"/>
    <w:rsid w:val="008F57F7"/>
    <w:rsid w:val="008F6D65"/>
    <w:rsid w:val="00932121"/>
    <w:rsid w:val="009361C2"/>
    <w:rsid w:val="009535D5"/>
    <w:rsid w:val="00956827"/>
    <w:rsid w:val="00971B88"/>
    <w:rsid w:val="00981543"/>
    <w:rsid w:val="00992330"/>
    <w:rsid w:val="009A6271"/>
    <w:rsid w:val="009B1016"/>
    <w:rsid w:val="009B28F8"/>
    <w:rsid w:val="009C4680"/>
    <w:rsid w:val="009D49EC"/>
    <w:rsid w:val="009F325F"/>
    <w:rsid w:val="00A03E45"/>
    <w:rsid w:val="00A041C8"/>
    <w:rsid w:val="00A14C84"/>
    <w:rsid w:val="00A22908"/>
    <w:rsid w:val="00A41E4E"/>
    <w:rsid w:val="00A45134"/>
    <w:rsid w:val="00A543A1"/>
    <w:rsid w:val="00A87C92"/>
    <w:rsid w:val="00AA7393"/>
    <w:rsid w:val="00AC0C72"/>
    <w:rsid w:val="00AC125E"/>
    <w:rsid w:val="00AE3C04"/>
    <w:rsid w:val="00AE483F"/>
    <w:rsid w:val="00B00970"/>
    <w:rsid w:val="00B11345"/>
    <w:rsid w:val="00B252E1"/>
    <w:rsid w:val="00B2790D"/>
    <w:rsid w:val="00B36E74"/>
    <w:rsid w:val="00B60141"/>
    <w:rsid w:val="00B958C7"/>
    <w:rsid w:val="00BD58B4"/>
    <w:rsid w:val="00BD740C"/>
    <w:rsid w:val="00C13FBD"/>
    <w:rsid w:val="00C238D5"/>
    <w:rsid w:val="00C249A4"/>
    <w:rsid w:val="00C25755"/>
    <w:rsid w:val="00C4295F"/>
    <w:rsid w:val="00C46F26"/>
    <w:rsid w:val="00C5578E"/>
    <w:rsid w:val="00C716EF"/>
    <w:rsid w:val="00C80EDA"/>
    <w:rsid w:val="00CB4CE6"/>
    <w:rsid w:val="00CB62AE"/>
    <w:rsid w:val="00CD6C18"/>
    <w:rsid w:val="00CE3058"/>
    <w:rsid w:val="00D00C8F"/>
    <w:rsid w:val="00D1488C"/>
    <w:rsid w:val="00D15081"/>
    <w:rsid w:val="00D34734"/>
    <w:rsid w:val="00D43646"/>
    <w:rsid w:val="00D47CDB"/>
    <w:rsid w:val="00D608F5"/>
    <w:rsid w:val="00D653EE"/>
    <w:rsid w:val="00D719F4"/>
    <w:rsid w:val="00D71C65"/>
    <w:rsid w:val="00D81EE8"/>
    <w:rsid w:val="00D8409A"/>
    <w:rsid w:val="00D951D2"/>
    <w:rsid w:val="00DA4CFE"/>
    <w:rsid w:val="00DA571A"/>
    <w:rsid w:val="00DA7E34"/>
    <w:rsid w:val="00DC4047"/>
    <w:rsid w:val="00DE2280"/>
    <w:rsid w:val="00E275CB"/>
    <w:rsid w:val="00E40756"/>
    <w:rsid w:val="00E41F2A"/>
    <w:rsid w:val="00E53739"/>
    <w:rsid w:val="00E6286D"/>
    <w:rsid w:val="00E679CE"/>
    <w:rsid w:val="00E834DE"/>
    <w:rsid w:val="00E85F3A"/>
    <w:rsid w:val="00EC7ABC"/>
    <w:rsid w:val="00F07E34"/>
    <w:rsid w:val="00F1318C"/>
    <w:rsid w:val="00F1408D"/>
    <w:rsid w:val="00F204FC"/>
    <w:rsid w:val="00F30649"/>
    <w:rsid w:val="00F36324"/>
    <w:rsid w:val="00F43FB6"/>
    <w:rsid w:val="00F458E6"/>
    <w:rsid w:val="00F91282"/>
    <w:rsid w:val="00F92BBF"/>
    <w:rsid w:val="00FA37A4"/>
    <w:rsid w:val="00FF7D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uiPriority w:val="22"/>
    <w:qFormat/>
    <w:rsid w:val="00106CCC"/>
    <w:rPr>
      <w:b/>
      <w:bCs/>
    </w:rPr>
  </w:style>
  <w:style w:type="paragraph" w:styleId="Paragraphedeliste">
    <w:name w:val="List Paragraph"/>
    <w:basedOn w:val="Normal"/>
    <w:link w:val="ParagraphedelisteCar"/>
    <w:uiPriority w:val="34"/>
    <w:qFormat/>
    <w:rsid w:val="00106CCC"/>
    <w:pPr>
      <w:ind w:left="720"/>
      <w:contextualSpacing/>
    </w:pPr>
  </w:style>
  <w:style w:type="character" w:styleId="Lienhypertexte">
    <w:name w:val="Hyperlink"/>
    <w:basedOn w:val="Policepardfaut"/>
    <w:uiPriority w:val="99"/>
    <w:unhideWhenUsed/>
    <w:rsid w:val="00240171"/>
    <w:rPr>
      <w:color w:val="0000FF" w:themeColor="hyperlink"/>
      <w:u w:val="single"/>
    </w:rPr>
  </w:style>
  <w:style w:type="character" w:styleId="Marquedecommentaire">
    <w:name w:val="annotation reference"/>
    <w:basedOn w:val="Policepardfaut"/>
    <w:uiPriority w:val="99"/>
    <w:semiHidden/>
    <w:unhideWhenUsed/>
    <w:rsid w:val="00240171"/>
    <w:rPr>
      <w:sz w:val="16"/>
      <w:szCs w:val="16"/>
    </w:rPr>
  </w:style>
  <w:style w:type="paragraph" w:styleId="Commentaire">
    <w:name w:val="annotation text"/>
    <w:basedOn w:val="Normal"/>
    <w:link w:val="CommentaireCar"/>
    <w:uiPriority w:val="99"/>
    <w:semiHidden/>
    <w:unhideWhenUsed/>
    <w:rsid w:val="00240171"/>
    <w:pPr>
      <w:spacing w:line="240" w:lineRule="auto"/>
    </w:pPr>
    <w:rPr>
      <w:sz w:val="20"/>
      <w:szCs w:val="20"/>
    </w:rPr>
  </w:style>
  <w:style w:type="character" w:customStyle="1" w:styleId="CommentaireCar">
    <w:name w:val="Commentaire Car"/>
    <w:basedOn w:val="Policepardfaut"/>
    <w:link w:val="Commentaire"/>
    <w:uiPriority w:val="99"/>
    <w:semiHidden/>
    <w:rsid w:val="00240171"/>
    <w:rPr>
      <w:sz w:val="20"/>
      <w:szCs w:val="20"/>
    </w:rPr>
  </w:style>
  <w:style w:type="paragraph" w:styleId="Textedebulles">
    <w:name w:val="Balloon Text"/>
    <w:basedOn w:val="Normal"/>
    <w:link w:val="TextedebullesCar"/>
    <w:uiPriority w:val="99"/>
    <w:semiHidden/>
    <w:unhideWhenUsed/>
    <w:rsid w:val="002401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0171"/>
    <w:rPr>
      <w:rFonts w:ascii="Tahoma" w:hAnsi="Tahoma" w:cs="Tahoma"/>
      <w:sz w:val="16"/>
      <w:szCs w:val="16"/>
    </w:rPr>
  </w:style>
  <w:style w:type="character" w:styleId="Lienhypertextesuivivisit">
    <w:name w:val="FollowedHyperlink"/>
    <w:basedOn w:val="Policepardfaut"/>
    <w:uiPriority w:val="99"/>
    <w:semiHidden/>
    <w:unhideWhenUsed/>
    <w:rsid w:val="00E41F2A"/>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5B012D"/>
    <w:rPr>
      <w:b/>
      <w:bCs/>
    </w:rPr>
  </w:style>
  <w:style w:type="character" w:customStyle="1" w:styleId="ObjetducommentaireCar">
    <w:name w:val="Objet du commentaire Car"/>
    <w:basedOn w:val="CommentaireCar"/>
    <w:link w:val="Objetducommentaire"/>
    <w:uiPriority w:val="99"/>
    <w:semiHidden/>
    <w:rsid w:val="005B012D"/>
    <w:rPr>
      <w:b/>
      <w:bCs/>
      <w:sz w:val="20"/>
      <w:szCs w:val="20"/>
    </w:rPr>
  </w:style>
  <w:style w:type="paragraph" w:styleId="Rvision">
    <w:name w:val="Revision"/>
    <w:hidden/>
    <w:uiPriority w:val="99"/>
    <w:semiHidden/>
    <w:rsid w:val="005B012D"/>
    <w:pPr>
      <w:spacing w:after="0" w:line="240" w:lineRule="auto"/>
    </w:pPr>
  </w:style>
  <w:style w:type="paragraph" w:styleId="En-tte">
    <w:name w:val="header"/>
    <w:basedOn w:val="Normal"/>
    <w:link w:val="En-tteCar"/>
    <w:uiPriority w:val="99"/>
    <w:unhideWhenUsed/>
    <w:rsid w:val="004F736E"/>
    <w:pPr>
      <w:tabs>
        <w:tab w:val="center" w:pos="4536"/>
        <w:tab w:val="right" w:pos="9072"/>
      </w:tabs>
      <w:spacing w:after="0" w:line="240" w:lineRule="auto"/>
    </w:pPr>
  </w:style>
  <w:style w:type="character" w:customStyle="1" w:styleId="En-tteCar">
    <w:name w:val="En-tête Car"/>
    <w:basedOn w:val="Policepardfaut"/>
    <w:link w:val="En-tte"/>
    <w:uiPriority w:val="99"/>
    <w:rsid w:val="004F736E"/>
  </w:style>
  <w:style w:type="paragraph" w:styleId="Pieddepage">
    <w:name w:val="footer"/>
    <w:basedOn w:val="Normal"/>
    <w:link w:val="PieddepageCar"/>
    <w:uiPriority w:val="99"/>
    <w:unhideWhenUsed/>
    <w:rsid w:val="004F7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36E"/>
  </w:style>
  <w:style w:type="character" w:styleId="Accentuation">
    <w:name w:val="Emphasis"/>
    <w:basedOn w:val="Policepardfaut"/>
    <w:uiPriority w:val="20"/>
    <w:qFormat/>
    <w:rsid w:val="004B005D"/>
    <w:rPr>
      <w:i/>
      <w:iCs/>
    </w:rPr>
  </w:style>
  <w:style w:type="table" w:styleId="Grilledutableau">
    <w:name w:val="Table Grid"/>
    <w:basedOn w:val="TableauNormal"/>
    <w:uiPriority w:val="59"/>
    <w:rsid w:val="00080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E6286D"/>
    <w:pPr>
      <w:spacing w:after="0" w:line="240" w:lineRule="auto"/>
    </w:pPr>
    <w:rPr>
      <w:sz w:val="20"/>
      <w:szCs w:val="20"/>
    </w:rPr>
  </w:style>
  <w:style w:type="character" w:customStyle="1" w:styleId="NotedebasdepageCar">
    <w:name w:val="Note de bas de page Car"/>
    <w:basedOn w:val="Policepardfaut"/>
    <w:link w:val="Notedebasdepage"/>
    <w:uiPriority w:val="99"/>
    <w:rsid w:val="00E6286D"/>
    <w:rPr>
      <w:sz w:val="20"/>
      <w:szCs w:val="20"/>
    </w:rPr>
  </w:style>
  <w:style w:type="character" w:styleId="Appelnotedebasdep">
    <w:name w:val="footnote reference"/>
    <w:basedOn w:val="Policepardfaut"/>
    <w:uiPriority w:val="99"/>
    <w:unhideWhenUsed/>
    <w:rsid w:val="00E6286D"/>
    <w:rPr>
      <w:vertAlign w:val="superscript"/>
    </w:rPr>
  </w:style>
  <w:style w:type="paragraph" w:customStyle="1" w:styleId="Default">
    <w:name w:val="Default"/>
    <w:rsid w:val="001F4730"/>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exte">
    <w:name w:val="Texte"/>
    <w:basedOn w:val="Normal"/>
    <w:qFormat/>
    <w:rsid w:val="0058239C"/>
    <w:pPr>
      <w:spacing w:before="120" w:after="0" w:line="240" w:lineRule="auto"/>
      <w:jc w:val="both"/>
    </w:pPr>
    <w:rPr>
      <w:rFonts w:ascii="Montserrat ExtraLight" w:hAnsi="Montserrat ExtraLight" w:cs="Times New Roman"/>
      <w:sz w:val="20"/>
    </w:rPr>
  </w:style>
  <w:style w:type="character" w:customStyle="1" w:styleId="ParagraphedelisteCar">
    <w:name w:val="Paragraphe de liste Car"/>
    <w:basedOn w:val="Policepardfaut"/>
    <w:link w:val="Paragraphedeliste"/>
    <w:uiPriority w:val="34"/>
    <w:locked/>
    <w:rsid w:val="001048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uiPriority w:val="22"/>
    <w:qFormat/>
    <w:rsid w:val="00106CCC"/>
    <w:rPr>
      <w:b/>
      <w:bCs/>
    </w:rPr>
  </w:style>
  <w:style w:type="paragraph" w:styleId="Paragraphedeliste">
    <w:name w:val="List Paragraph"/>
    <w:basedOn w:val="Normal"/>
    <w:link w:val="ParagraphedelisteCar"/>
    <w:uiPriority w:val="34"/>
    <w:qFormat/>
    <w:rsid w:val="00106CCC"/>
    <w:pPr>
      <w:ind w:left="720"/>
      <w:contextualSpacing/>
    </w:pPr>
  </w:style>
  <w:style w:type="character" w:styleId="Lienhypertexte">
    <w:name w:val="Hyperlink"/>
    <w:basedOn w:val="Policepardfaut"/>
    <w:uiPriority w:val="99"/>
    <w:unhideWhenUsed/>
    <w:rsid w:val="00240171"/>
    <w:rPr>
      <w:color w:val="0000FF" w:themeColor="hyperlink"/>
      <w:u w:val="single"/>
    </w:rPr>
  </w:style>
  <w:style w:type="character" w:styleId="Marquedecommentaire">
    <w:name w:val="annotation reference"/>
    <w:basedOn w:val="Policepardfaut"/>
    <w:uiPriority w:val="99"/>
    <w:semiHidden/>
    <w:unhideWhenUsed/>
    <w:rsid w:val="00240171"/>
    <w:rPr>
      <w:sz w:val="16"/>
      <w:szCs w:val="16"/>
    </w:rPr>
  </w:style>
  <w:style w:type="paragraph" w:styleId="Commentaire">
    <w:name w:val="annotation text"/>
    <w:basedOn w:val="Normal"/>
    <w:link w:val="CommentaireCar"/>
    <w:uiPriority w:val="99"/>
    <w:semiHidden/>
    <w:unhideWhenUsed/>
    <w:rsid w:val="00240171"/>
    <w:pPr>
      <w:spacing w:line="240" w:lineRule="auto"/>
    </w:pPr>
    <w:rPr>
      <w:sz w:val="20"/>
      <w:szCs w:val="20"/>
    </w:rPr>
  </w:style>
  <w:style w:type="character" w:customStyle="1" w:styleId="CommentaireCar">
    <w:name w:val="Commentaire Car"/>
    <w:basedOn w:val="Policepardfaut"/>
    <w:link w:val="Commentaire"/>
    <w:uiPriority w:val="99"/>
    <w:semiHidden/>
    <w:rsid w:val="00240171"/>
    <w:rPr>
      <w:sz w:val="20"/>
      <w:szCs w:val="20"/>
    </w:rPr>
  </w:style>
  <w:style w:type="paragraph" w:styleId="Textedebulles">
    <w:name w:val="Balloon Text"/>
    <w:basedOn w:val="Normal"/>
    <w:link w:val="TextedebullesCar"/>
    <w:uiPriority w:val="99"/>
    <w:semiHidden/>
    <w:unhideWhenUsed/>
    <w:rsid w:val="002401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0171"/>
    <w:rPr>
      <w:rFonts w:ascii="Tahoma" w:hAnsi="Tahoma" w:cs="Tahoma"/>
      <w:sz w:val="16"/>
      <w:szCs w:val="16"/>
    </w:rPr>
  </w:style>
  <w:style w:type="character" w:styleId="Lienhypertextesuivivisit">
    <w:name w:val="FollowedHyperlink"/>
    <w:basedOn w:val="Policepardfaut"/>
    <w:uiPriority w:val="99"/>
    <w:semiHidden/>
    <w:unhideWhenUsed/>
    <w:rsid w:val="00E41F2A"/>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5B012D"/>
    <w:rPr>
      <w:b/>
      <w:bCs/>
    </w:rPr>
  </w:style>
  <w:style w:type="character" w:customStyle="1" w:styleId="ObjetducommentaireCar">
    <w:name w:val="Objet du commentaire Car"/>
    <w:basedOn w:val="CommentaireCar"/>
    <w:link w:val="Objetducommentaire"/>
    <w:uiPriority w:val="99"/>
    <w:semiHidden/>
    <w:rsid w:val="005B012D"/>
    <w:rPr>
      <w:b/>
      <w:bCs/>
      <w:sz w:val="20"/>
      <w:szCs w:val="20"/>
    </w:rPr>
  </w:style>
  <w:style w:type="paragraph" w:styleId="Rvision">
    <w:name w:val="Revision"/>
    <w:hidden/>
    <w:uiPriority w:val="99"/>
    <w:semiHidden/>
    <w:rsid w:val="005B012D"/>
    <w:pPr>
      <w:spacing w:after="0" w:line="240" w:lineRule="auto"/>
    </w:pPr>
  </w:style>
  <w:style w:type="paragraph" w:styleId="En-tte">
    <w:name w:val="header"/>
    <w:basedOn w:val="Normal"/>
    <w:link w:val="En-tteCar"/>
    <w:uiPriority w:val="99"/>
    <w:unhideWhenUsed/>
    <w:rsid w:val="004F736E"/>
    <w:pPr>
      <w:tabs>
        <w:tab w:val="center" w:pos="4536"/>
        <w:tab w:val="right" w:pos="9072"/>
      </w:tabs>
      <w:spacing w:after="0" w:line="240" w:lineRule="auto"/>
    </w:pPr>
  </w:style>
  <w:style w:type="character" w:customStyle="1" w:styleId="En-tteCar">
    <w:name w:val="En-tête Car"/>
    <w:basedOn w:val="Policepardfaut"/>
    <w:link w:val="En-tte"/>
    <w:uiPriority w:val="99"/>
    <w:rsid w:val="004F736E"/>
  </w:style>
  <w:style w:type="paragraph" w:styleId="Pieddepage">
    <w:name w:val="footer"/>
    <w:basedOn w:val="Normal"/>
    <w:link w:val="PieddepageCar"/>
    <w:uiPriority w:val="99"/>
    <w:unhideWhenUsed/>
    <w:rsid w:val="004F7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36E"/>
  </w:style>
  <w:style w:type="character" w:styleId="Accentuation">
    <w:name w:val="Emphasis"/>
    <w:basedOn w:val="Policepardfaut"/>
    <w:uiPriority w:val="20"/>
    <w:qFormat/>
    <w:rsid w:val="004B005D"/>
    <w:rPr>
      <w:i/>
      <w:iCs/>
    </w:rPr>
  </w:style>
  <w:style w:type="table" w:styleId="Grilledutableau">
    <w:name w:val="Table Grid"/>
    <w:basedOn w:val="TableauNormal"/>
    <w:uiPriority w:val="59"/>
    <w:rsid w:val="00080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E6286D"/>
    <w:pPr>
      <w:spacing w:after="0" w:line="240" w:lineRule="auto"/>
    </w:pPr>
    <w:rPr>
      <w:sz w:val="20"/>
      <w:szCs w:val="20"/>
    </w:rPr>
  </w:style>
  <w:style w:type="character" w:customStyle="1" w:styleId="NotedebasdepageCar">
    <w:name w:val="Note de bas de page Car"/>
    <w:basedOn w:val="Policepardfaut"/>
    <w:link w:val="Notedebasdepage"/>
    <w:uiPriority w:val="99"/>
    <w:rsid w:val="00E6286D"/>
    <w:rPr>
      <w:sz w:val="20"/>
      <w:szCs w:val="20"/>
    </w:rPr>
  </w:style>
  <w:style w:type="character" w:styleId="Appelnotedebasdep">
    <w:name w:val="footnote reference"/>
    <w:basedOn w:val="Policepardfaut"/>
    <w:uiPriority w:val="99"/>
    <w:unhideWhenUsed/>
    <w:rsid w:val="00E6286D"/>
    <w:rPr>
      <w:vertAlign w:val="superscript"/>
    </w:rPr>
  </w:style>
  <w:style w:type="paragraph" w:customStyle="1" w:styleId="Default">
    <w:name w:val="Default"/>
    <w:rsid w:val="001F4730"/>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exte">
    <w:name w:val="Texte"/>
    <w:basedOn w:val="Normal"/>
    <w:qFormat/>
    <w:rsid w:val="0058239C"/>
    <w:pPr>
      <w:spacing w:before="120" w:after="0" w:line="240" w:lineRule="auto"/>
      <w:jc w:val="both"/>
    </w:pPr>
    <w:rPr>
      <w:rFonts w:ascii="Montserrat ExtraLight" w:hAnsi="Montserrat ExtraLight" w:cs="Times New Roman"/>
      <w:sz w:val="20"/>
    </w:rPr>
  </w:style>
  <w:style w:type="character" w:customStyle="1" w:styleId="ParagraphedelisteCar">
    <w:name w:val="Paragraphe de liste Car"/>
    <w:basedOn w:val="Policepardfaut"/>
    <w:link w:val="Paragraphedeliste"/>
    <w:uiPriority w:val="34"/>
    <w:locked/>
    <w:rsid w:val="0010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3304">
      <w:bodyDiv w:val="1"/>
      <w:marLeft w:val="0"/>
      <w:marRight w:val="0"/>
      <w:marTop w:val="0"/>
      <w:marBottom w:val="0"/>
      <w:divBdr>
        <w:top w:val="none" w:sz="0" w:space="0" w:color="auto"/>
        <w:left w:val="none" w:sz="0" w:space="0" w:color="auto"/>
        <w:bottom w:val="none" w:sz="0" w:space="0" w:color="auto"/>
        <w:right w:val="none" w:sz="0" w:space="0" w:color="auto"/>
      </w:divBdr>
    </w:div>
    <w:div w:id="566838245">
      <w:bodyDiv w:val="1"/>
      <w:marLeft w:val="0"/>
      <w:marRight w:val="0"/>
      <w:marTop w:val="0"/>
      <w:marBottom w:val="0"/>
      <w:divBdr>
        <w:top w:val="none" w:sz="0" w:space="0" w:color="auto"/>
        <w:left w:val="none" w:sz="0" w:space="0" w:color="auto"/>
        <w:bottom w:val="none" w:sz="0" w:space="0" w:color="auto"/>
        <w:right w:val="none" w:sz="0" w:space="0" w:color="auto"/>
      </w:divBdr>
    </w:div>
    <w:div w:id="568271565">
      <w:bodyDiv w:val="1"/>
      <w:marLeft w:val="0"/>
      <w:marRight w:val="0"/>
      <w:marTop w:val="0"/>
      <w:marBottom w:val="0"/>
      <w:divBdr>
        <w:top w:val="none" w:sz="0" w:space="0" w:color="auto"/>
        <w:left w:val="none" w:sz="0" w:space="0" w:color="auto"/>
        <w:bottom w:val="none" w:sz="0" w:space="0" w:color="auto"/>
        <w:right w:val="none" w:sz="0" w:space="0" w:color="auto"/>
      </w:divBdr>
    </w:div>
    <w:div w:id="896546980">
      <w:bodyDiv w:val="1"/>
      <w:marLeft w:val="0"/>
      <w:marRight w:val="0"/>
      <w:marTop w:val="0"/>
      <w:marBottom w:val="0"/>
      <w:divBdr>
        <w:top w:val="none" w:sz="0" w:space="0" w:color="auto"/>
        <w:left w:val="none" w:sz="0" w:space="0" w:color="auto"/>
        <w:bottom w:val="none" w:sz="0" w:space="0" w:color="auto"/>
        <w:right w:val="none" w:sz="0" w:space="0" w:color="auto"/>
      </w:divBdr>
    </w:div>
    <w:div w:id="1336807502">
      <w:bodyDiv w:val="1"/>
      <w:marLeft w:val="0"/>
      <w:marRight w:val="0"/>
      <w:marTop w:val="0"/>
      <w:marBottom w:val="0"/>
      <w:divBdr>
        <w:top w:val="none" w:sz="0" w:space="0" w:color="auto"/>
        <w:left w:val="none" w:sz="0" w:space="0" w:color="auto"/>
        <w:bottom w:val="none" w:sz="0" w:space="0" w:color="auto"/>
        <w:right w:val="none" w:sz="0" w:space="0" w:color="auto"/>
      </w:divBdr>
    </w:div>
    <w:div w:id="1637948486">
      <w:bodyDiv w:val="1"/>
      <w:marLeft w:val="0"/>
      <w:marRight w:val="0"/>
      <w:marTop w:val="0"/>
      <w:marBottom w:val="0"/>
      <w:divBdr>
        <w:top w:val="none" w:sz="0" w:space="0" w:color="auto"/>
        <w:left w:val="none" w:sz="0" w:space="0" w:color="auto"/>
        <w:bottom w:val="none" w:sz="0" w:space="0" w:color="auto"/>
        <w:right w:val="none" w:sz="0" w:space="0" w:color="auto"/>
      </w:divBdr>
      <w:divsChild>
        <w:div w:id="850728490">
          <w:marLeft w:val="0"/>
          <w:marRight w:val="0"/>
          <w:marTop w:val="0"/>
          <w:marBottom w:val="0"/>
          <w:divBdr>
            <w:top w:val="none" w:sz="0" w:space="0" w:color="auto"/>
            <w:left w:val="none" w:sz="0" w:space="0" w:color="auto"/>
            <w:bottom w:val="none" w:sz="0" w:space="0" w:color="auto"/>
            <w:right w:val="none" w:sz="0" w:space="0" w:color="auto"/>
          </w:divBdr>
          <w:divsChild>
            <w:div w:id="1750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dernisation.gouv.fr/sites/default/files/fichiers-attaches/pgo_plan_action_france_2015-2017_fr.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2.assemblee-nationale.fr/qui/pour-une-nouvelle-assemblee-nationale-les-rendez-vous-des-reformes-2017-2022" TargetMode="External"/><Relationship Id="rId17" Type="http://schemas.openxmlformats.org/officeDocument/2006/relationships/hyperlink" Target="mailto:presse.presidence@assemblee-nationale.fr" TargetMode="External"/><Relationship Id="rId2" Type="http://schemas.openxmlformats.org/officeDocument/2006/relationships/numbering" Target="numbering.xml"/><Relationship Id="rId16" Type="http://schemas.openxmlformats.org/officeDocument/2006/relationships/hyperlink" Target="mailto:communication.dinsic@modernisation.gouv.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talab.gouv.fr/wp-content/uploads/2018/04/PlanOGP-FR-2018-2020-VF-FR.pdf" TargetMode="External"/><Relationship Id="rId5" Type="http://schemas.openxmlformats.org/officeDocument/2006/relationships/settings" Target="settings.xml"/><Relationship Id="rId15" Type="http://schemas.openxmlformats.org/officeDocument/2006/relationships/hyperlink" Target="mailto:presse@numerique.gouv.fr"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odernisation.gouv.fr/laction-publique-se-transforme/en-ouvrant-les-donnees-publiques/revivez-le-4e-sommet-mondial-du-partenariat-pour-un-gouvernement-ouve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F3ABA-6633-4D4D-BDC1-A515B8F2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1844</Words>
  <Characters>10142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DINSIC</dc:creator>
  <cp:lastModifiedBy>Amélie Banzet</cp:lastModifiedBy>
  <cp:revision>6</cp:revision>
  <cp:lastPrinted>2018-04-03T17:27:00Z</cp:lastPrinted>
  <dcterms:created xsi:type="dcterms:W3CDTF">2018-04-03T17:19:00Z</dcterms:created>
  <dcterms:modified xsi:type="dcterms:W3CDTF">2018-04-03T17:28:00Z</dcterms:modified>
</cp:coreProperties>
</file>