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Privacy Policy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Organization: </w:t>
      </w:r>
      <w:r>
        <w:rPr>
          <w:rFonts w:ascii="Arial" w:cs="Arial" w:eastAsia="Arial" w:hAnsi="Arial"/>
          <w:sz w:val="20"/>
          <w:szCs w:val="20"/>
        </w:rPr>
        <w:t xml:space="preserve">Lunara LLC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Owner: </w:t>
      </w:r>
      <w:r>
        <w:rPr>
          <w:rFonts w:ascii="Arial" w:cs="Arial" w:eastAsia="Arial" w:hAnsi="Arial"/>
          <w:sz w:val="20"/>
          <w:szCs w:val="20"/>
        </w:rPr>
        <w:t xml:space="preserve">Kai Indigo Wolf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Effective Date: </w:t>
      </w:r>
      <w:r>
        <w:rPr>
          <w:rFonts w:ascii="Arial" w:cs="Arial" w:eastAsia="Arial" w:hAnsi="Arial"/>
          <w:sz w:val="20"/>
          <w:szCs w:val="20"/>
        </w:rPr>
        <w:t xml:space="preserve">March 21,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Date: </w:t>
      </w:r>
      <w:r>
        <w:rPr>
          <w:rFonts w:ascii="Arial" w:cs="Arial" w:eastAsia="Arial" w:hAnsi="Arial"/>
          <w:sz w:val="20"/>
          <w:szCs w:val="20"/>
        </w:rPr>
        <w:t xml:space="preserve">September 22, 2026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This Privacy Policy describes how Lunara LLC ("the Organization") collects, uses, and protects personal data in connection with its internal SecondBrain application. This is an internal tool with no consumer-facing interface. The only individual whose data is collected and processed is the owner of the Organization.</w:t>
      </w:r>
    </w:p>
    <w:p>
      <w:pPr>
        <w:pStyle w:val="Heading1"/>
      </w:pPr>
      <w:r>
        <w:t xml:space="preserve">2. Who This Policy Applies To</w:t>
      </w:r>
    </w:p>
    <w:p>
      <w:pPr>
        <w:spacing w:after="160"/>
      </w:pPr>
      <w:r>
        <w:rPr>
          <w:sz w:val="22"/>
          <w:szCs w:val="22"/>
        </w:rPr>
        <w:t xml:space="preserve">This policy applies to the owner and sole member of the Organization. No third-party user data is collected, processed, or stored. This application is not available to the public.</w:t>
      </w:r>
    </w:p>
    <w:p>
      <w:pPr>
        <w:pStyle w:val="Heading1"/>
      </w:pPr>
      <w:r>
        <w:t xml:space="preserve">3. Data We Collect</w:t>
      </w:r>
    </w:p>
    <w:p>
      <w:pPr>
        <w:spacing w:after="160"/>
      </w:pPr>
      <w:r>
        <w:rPr>
          <w:sz w:val="22"/>
          <w:szCs w:val="22"/>
        </w:rPr>
        <w:t xml:space="preserve">The following data is collected on behalf of and for the exclusive use of the owner: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transaction data from linked bank and credit card accounts (via Plaid)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content and metadata from the owner's Gmail account (via Google API, 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Calendar events from the owner's Google Calendar (via Google API, 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Drive document content (via Google API, read-only)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conversation history exported from third-party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 bookmarks and local files</w:t>
      </w:r>
    </w:p>
    <w:p>
      <w:pPr>
        <w:pStyle w:val="Heading1"/>
      </w:pPr>
      <w:r>
        <w:t xml:space="preserve">4. How We Use This Data</w:t>
      </w:r>
    </w:p>
    <w:p>
      <w:pPr>
        <w:spacing w:after="160"/>
      </w:pPr>
      <w:r>
        <w:rPr>
          <w:sz w:val="22"/>
          <w:szCs w:val="22"/>
        </w:rPr>
        <w:t xml:space="preserve">All collected data is used exclusively for the owner's personal financial analysis, information retrieval, and productivity. Data is never: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Sold or transferred to any third party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Used for advertising or marketing purposes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Shared with any other individual or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Used to make automated decisions affecting any third party</w:t>
      </w:r>
    </w:p>
    <w:p>
      <w:pPr>
        <w:pStyle w:val="Heading1"/>
      </w:pPr>
      <w:r>
        <w:t xml:space="preserve">5. Data Storage and Security</w:t>
      </w:r>
    </w:p>
    <w:p>
      <w:pPr>
        <w:spacing w:after="160"/>
      </w:pPr>
      <w:r>
        <w:rPr>
          <w:sz w:val="22"/>
          <w:szCs w:val="22"/>
        </w:rPr>
        <w:t xml:space="preserve">All data is stored on a private VPS server accessible only to the owner via SSH key authentication. Data is stored in an encrypted volume. API access is read-only where possible and scoped to minimum required permissions.</w:t>
      </w:r>
    </w:p>
    <w:p>
      <w:pPr>
        <w:pStyle w:val="Heading1"/>
      </w:pPr>
      <w:r>
        <w:t xml:space="preserve">6. Third-Party Services</w:t>
      </w:r>
    </w:p>
    <w:p>
      <w:pPr>
        <w:spacing w:after="160"/>
      </w:pPr>
      <w:r>
        <w:rPr>
          <w:sz w:val="22"/>
          <w:szCs w:val="22"/>
        </w:rPr>
        <w:t xml:space="preserve">The application integrates with the following third-party services, each governed by their own privacy policies: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Plaid Inc. — financial data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LLC — Gmail, Calendar, and Drive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Anthropic, OpenAI — AI conversation exports (data exported manually, no live API connection to personal data)</w:t>
      </w:r>
    </w:p>
    <w:p>
      <w:pPr>
        <w:pStyle w:val="Heading1"/>
      </w:pPr>
      <w:r>
        <w:t xml:space="preserve">7. Data Retention and Deletion</w:t>
      </w:r>
    </w:p>
    <w:p>
      <w:pPr>
        <w:spacing w:after="160"/>
      </w:pPr>
      <w:r>
        <w:rPr>
          <w:sz w:val="22"/>
          <w:szCs w:val="22"/>
        </w:rPr>
        <w:t xml:space="preserve">See the accompanying Data Deletion and Retention Policy. The owner may delete all stored data at any time.</w:t>
      </w:r>
    </w:p>
    <w:p>
      <w:pPr>
        <w:pStyle w:val="Heading1"/>
      </w:pPr>
      <w:r>
        <w:t xml:space="preserve">8. Contact</w:t>
      </w:r>
    </w:p>
    <w:p>
      <w:pPr>
        <w:spacing w:after="160"/>
      </w:pPr>
      <w:r>
        <w:rPr>
          <w:sz w:val="22"/>
          <w:szCs w:val="22"/>
        </w:rPr>
        <w:t xml:space="preserve">For any questions regarding this policy, contact: Kai Indigo Wolf at Lunara LLC.</w:t>
      </w:r>
    </w:p>
    <w:p>
      <w:pPr>
        <w:pStyle w:val="Heading1"/>
      </w:pPr>
      <w:r>
        <w:t xml:space="preserve">9. Policy Review</w:t>
      </w:r>
    </w:p>
    <w:p>
      <w:pPr>
        <w:spacing w:after="160"/>
      </w:pPr>
      <w:r>
        <w:rPr>
          <w:sz w:val="22"/>
          <w:szCs w:val="22"/>
        </w:rPr>
        <w:t xml:space="preserve">This policy will be reviewed by September 22, 2026 or upon any material change to the application or applicable law.</w:t>
      </w:r>
    </w:p>
    <w:p>
      <w:pPr>
        <w:spacing w:after="160"/>
      </w:pPr>
    </w:p>
    <w:p>
      <w:pPr>
        <w:pBdr>
          <w:bottom w:val="single" w:color="CCCCCC" w:sz="4" w:space="1"/>
        </w:pBdr>
        <w:spacing w:after="200"/>
      </w:pPr>
    </w:p>
    <w:p>
      <w:pPr>
        <w:spacing w:after="160"/>
      </w:pPr>
      <w:r>
        <w:rPr>
          <w:sz w:val="22"/>
          <w:szCs w:val="22"/>
        </w:rPr>
        <w:t xml:space="preserve">Last updated: March 21,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2026-03-21T16:27:38.431Z</dcterms:created>
  <dcterms:modified xsi:type="dcterms:W3CDTF">2026-03-21T16:27:38.431Z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