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Indobase – Updates summary</w:t>
      </w:r>
    </w:p>
    <w:p/>
    <w:p>
      <w:pPr>
        <w:pStyle w:val="Heading2"/>
      </w:pPr>
      <w:r>
        <w:t xml:space="preserve">SaaS groundwork (control plane + provisioning)</w:t>
      </w:r>
    </w:p>
    <w:p>
      <w:pPr>
        <w:pStyle w:val="ListParagraph"/>
        <w:numPr>
          <w:ilvl w:val="0"/>
          <w:numId w:val="1"/>
        </w:numPr>
      </w:pPr>
      <w:r>
        <w:t xml:space="preserve">Added SaaS project/organization flows and an Option A (per-project data-plane stack) provisioning pipeline.</w:t>
      </w:r>
    </w:p>
    <w:p>
      <w:pPr>
        <w:pStyle w:val="ListParagraph"/>
        <w:numPr>
          <w:ilvl w:val="0"/>
          <w:numId w:val="1"/>
        </w:numPr>
      </w:pPr>
      <w:r>
        <w:t xml:space="preserve">Added runbooks and tightened routing so wildcard tenant traffic can’t bypass per-tenant configs.</w:t>
      </w:r>
    </w:p>
    <w:p>
      <w:pPr>
        <w:pStyle w:val="ListParagraph"/>
        <w:numPr>
          <w:ilvl w:val="0"/>
          <w:numId w:val="1"/>
        </w:numPr>
      </w:pPr>
      <w:r>
        <w:t xml:space="preserve">Added encrypted storage for per-project credentials and deterministic per-project data-plane port allocation.</w:t>
      </w:r>
    </w:p>
    <w:p/>
    <w:p>
      <w:pPr>
        <w:pStyle w:val="Heading2"/>
      </w:pPr>
      <w:r>
        <w:t xml:space="preserve">Deployment reliability (Dokploy + self-hosted)</w:t>
      </w:r>
    </w:p>
    <w:p>
      <w:pPr>
        <w:pStyle w:val="ListParagraph"/>
        <w:numPr>
          <w:ilvl w:val="0"/>
          <w:numId w:val="1"/>
        </w:numPr>
      </w:pPr>
      <w:r>
        <w:t xml:space="preserve">Fixed Kong declarative config rendering issues (safe quoting for Lua snippets, removed problematic characters in comments, normalized line endings).</w:t>
      </w:r>
    </w:p>
    <w:p>
      <w:pPr>
        <w:pStyle w:val="ListParagraph"/>
        <w:numPr>
          <w:ilvl w:val="0"/>
          <w:numId w:val="1"/>
        </w:numPr>
      </w:pPr>
      <w:r>
        <w:t xml:space="preserve">Fixed Kong upstream routing / Docker DNS issues by using explicit container names.</w:t>
      </w:r>
    </w:p>
    <w:p>
      <w:pPr>
        <w:pStyle w:val="ListParagraph"/>
        <w:numPr>
          <w:ilvl w:val="0"/>
          <w:numId w:val="1"/>
        </w:numPr>
      </w:pPr>
      <w:r>
        <w:t xml:space="preserve">Improved Studio/self-hosted service URLs (internal GoTrue URL) to avoid external network calls during auth validation.</w:t>
      </w:r>
    </w:p>
    <w:p>
      <w:pPr>
        <w:pStyle w:val="ListParagraph"/>
        <w:numPr>
          <w:ilvl w:val="0"/>
          <w:numId w:val="1"/>
        </w:numPr>
      </w:pPr>
      <w:r>
        <w:t xml:space="preserve">Made default workspace creation idempotent and improved self-hosted stability.</w:t>
      </w:r>
    </w:p>
    <w:p/>
    <w:p>
      <w:pPr>
        <w:pStyle w:val="Heading2"/>
      </w:pPr>
      <w:r>
        <w:t xml:space="preserve">Single-DB multi-tenancy (RLS foundation)</w:t>
      </w:r>
    </w:p>
    <w:p>
      <w:pPr>
        <w:pStyle w:val="ListParagraph"/>
        <w:numPr>
          <w:ilvl w:val="0"/>
          <w:numId w:val="1"/>
        </w:numPr>
      </w:pPr>
      <w:r>
        <w:t xml:space="preserve">Implemented strict, fail-closed tenant context:</w:t>
      </w:r>
    </w:p>
    <w:p>
      <w:pPr>
        <w:pStyle w:val="ListParagraph"/>
        <w:numPr>
          <w:ilvl w:val="1"/>
          <w:numId w:val="1"/>
        </w:numPr>
      </w:pPr>
      <w:r>
        <w:t xml:space="preserve">`app.project_ref()` reads tenant context from JWT/header/GUC</w:t>
      </w:r>
    </w:p>
    <w:p>
      <w:pPr>
        <w:pStyle w:val="ListParagraph"/>
        <w:numPr>
          <w:ilvl w:val="1"/>
          <w:numId w:val="1"/>
        </w:numPr>
      </w:pPr>
      <w:r>
        <w:t xml:space="preserve">`app.set_project_ref()` sets session tenant and throws if missing tenant context</w:t>
      </w:r>
    </w:p>
    <w:p>
      <w:pPr>
        <w:pStyle w:val="ListParagraph"/>
        <w:numPr>
          <w:ilvl w:val="0"/>
          <w:numId w:val="1"/>
        </w:numPr>
      </w:pPr>
      <w:r>
        <w:t xml:space="preserve">Added tenantization helper + automation for new tables in the `tenant` schema.</w:t>
      </w:r>
    </w:p>
    <w:p>
      <w:pPr>
        <w:pStyle w:val="ListParagraph"/>
        <w:numPr>
          <w:ilvl w:val="0"/>
          <w:numId w:val="1"/>
        </w:numPr>
      </w:pPr>
      <w:r>
        <w:t xml:space="preserve">Wired PostgREST to enforce tenant context via `PGRST_DB_PRE_REQUEST`.</w:t>
      </w:r>
    </w:p>
    <w:p/>
    <w:p>
      <w:pPr>
        <w:pStyle w:val="Heading2"/>
      </w:pPr>
      <w:r>
        <w:t xml:space="preserve">Storage tenant isolation (shared DB, strict policies)</w:t>
      </w:r>
    </w:p>
    <w:p>
      <w:pPr>
        <w:pStyle w:val="ListParagraph"/>
        <w:numPr>
          <w:ilvl w:val="0"/>
          <w:numId w:val="1"/>
        </w:numPr>
      </w:pPr>
      <w:r>
        <w:t xml:space="preserve">Added `project_ref` to `storage.buckets` and `storage.objects`.</w:t>
      </w:r>
    </w:p>
    <w:p>
      <w:pPr>
        <w:pStyle w:val="ListParagraph"/>
        <w:numPr>
          <w:ilvl w:val="0"/>
          <w:numId w:val="1"/>
        </w:numPr>
      </w:pPr>
      <w:r>
        <w:t xml:space="preserve">Added insert triggers to ensure rows are tagged with the current tenant.</w:t>
      </w:r>
    </w:p>
    <w:p>
      <w:pPr>
        <w:pStyle w:val="ListParagraph"/>
        <w:numPr>
          <w:ilvl w:val="0"/>
          <w:numId w:val="1"/>
        </w:numPr>
      </w:pPr>
      <w:r>
        <w:t xml:space="preserve">Enabled **RLS + FORCE RLS** and applied strict tenant policies using `app.project_ref()`.</w:t>
      </w:r>
    </w:p>
    <w:p/>
    <w:p>
      <w:pPr>
        <w:pStyle w:val="Heading2"/>
      </w:pPr>
      <w:r>
        <w:t xml:space="preserve">Gateway hardening (tenant APIs)</w:t>
      </w:r>
    </w:p>
    <w:p>
      <w:pPr>
        <w:pStyle w:val="ListParagraph"/>
        <w:numPr>
          <w:ilvl w:val="0"/>
          <w:numId w:val="1"/>
        </w:numPr>
      </w:pPr>
      <w:r>
        <w:t xml:space="preserve">Blocked `service_role` from tenant-facing APIs at Kong (tenant APIs allow `anon` only).</w:t>
      </w:r>
    </w:p>
    <w:p>
      <w:pPr>
        <w:pStyle w:val="ListParagraph"/>
        <w:numPr>
          <w:ilvl w:val="0"/>
          <w:numId w:val="1"/>
        </w:numPr>
      </w:pPr>
      <w:r>
        <w:t xml:space="preserve">Added `key-auth + acl` gating to Storage and Functions routes.</w:t>
      </w:r>
    </w:p>
    <w:p/>
    <w:p>
      <w:pPr>
        <w:pStyle w:val="Heading2"/>
      </w:pPr>
      <w:r>
        <w:t xml:space="preserve">Metering (direct, tenant-safe)</w:t>
      </w:r>
    </w:p>
    <w:p>
      <w:pPr>
        <w:pStyle w:val="ListParagraph"/>
        <w:numPr>
          <w:ilvl w:val="0"/>
          <w:numId w:val="1"/>
        </w:numPr>
      </w:pPr>
      <w:r>
        <w:t xml:space="preserve">Added latency fields to Kong access logs.</w:t>
      </w:r>
    </w:p>
    <w:p>
      <w:pPr>
        <w:pStyle w:val="ListParagraph"/>
        <w:numPr>
          <w:ilvl w:val="0"/>
          <w:numId w:val="1"/>
        </w:numPr>
      </w:pPr>
      <w:r>
        <w:t xml:space="preserve">Updated Vector parsing to extract `project_ref`, bytes sent, and latency.</w:t>
      </w:r>
    </w:p>
    <w:p>
      <w:pPr>
        <w:pStyle w:val="ListParagraph"/>
        <w:numPr>
          <w:ilvl w:val="0"/>
          <w:numId w:val="1"/>
        </w:numPr>
      </w:pPr>
      <w:r>
        <w:t xml:space="preserve">Added direct ingestion into Postgres:</w:t>
      </w:r>
    </w:p>
    <w:p>
      <w:pPr>
        <w:pStyle w:val="ListParagraph"/>
        <w:numPr>
          <w:ilvl w:val="1"/>
          <w:numId w:val="1"/>
        </w:numPr>
      </w:pPr>
      <w:r>
        <w:t xml:space="preserve">`saas.usage_events`</w:t>
      </w:r>
    </w:p>
    <w:p>
      <w:pPr>
        <w:pStyle w:val="ListParagraph"/>
        <w:numPr>
          <w:ilvl w:val="1"/>
          <w:numId w:val="1"/>
        </w:numPr>
      </w:pPr>
      <w:r>
        <w:t xml:space="preserve">`saas.usage_daily` rollup view</w:t>
      </w:r>
    </w:p>
    <w:p/>
    <w:p>
      <w:pPr>
        <w:pStyle w:val="Heading2"/>
      </w:pPr>
      <w:r>
        <w:t xml:space="preserve">Deploy automation (no manual SQL)</w:t>
      </w:r>
    </w:p>
    <w:p>
      <w:pPr>
        <w:pStyle w:val="ListParagraph"/>
        <w:numPr>
          <w:ilvl w:val="0"/>
          <w:numId w:val="1"/>
        </w:numPr>
      </w:pPr>
      <w:r>
        <w:t xml:space="preserve">Added a one-shot `db-migrator` service that reapplies idempotent SQL against an existing Postgres volume on every redeploy.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2026-05-06T09:30:57.183Z</dcterms:created>
  <dcterms:modified xsi:type="dcterms:W3CDTF">2026-05-06T09:30:57.189Z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