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5.png" ContentType="image/png"/>
  <Override PartName="/word/media/rId37.png" ContentType="image/png"/>
  <Override PartName="/word/media/rId38.png" ContentType="image/png"/>
  <Override PartName="/word/media/rId40.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Altough in reality, the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transition to structural modelling:</w:t>
      </w:r>
      <w:r>
        <w:t xml:space="preserve"> </w:t>
      </w:r>
      <w:r>
        <w:t xml:space="preserve">“</w:t>
      </w:r>
      <w:r>
        <w:t xml:space="preserve">given this model of the world, how are the effects (</w:t>
      </w:r>
      <w:r>
        <w:rPr>
          <w:i/>
        </w:rPr>
        <w:t xml:space="preserve">i.e.</w:t>
      </w:r>
      <w:r>
        <w:t xml:space="preserve">, model parameters) influencing the outcome</w:t>
      </w:r>
      <w:r>
        <w:t xml:space="preserve">”</w:t>
      </w:r>
      <w:r>
        <w:t xml:space="preserve">. Nevertheless, for this last part, scientists often rely on an index of effect</w:t>
      </w:r>
      <w:r>
        <w:t xml:space="preserve"> </w:t>
      </w:r>
      <w:r>
        <w:t xml:space="preserve">“</w:t>
      </w:r>
      <w:r>
        <w:t xml:space="preserve">significance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parameter</w:t>
      </w:r>
      <w:r>
        <w:t xml:space="preserve"> </w:t>
      </w:r>
      <w:r>
        <w:rPr>
          <w:i/>
        </w:rPr>
        <w:t xml:space="preserve">existence</w:t>
      </w: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 This need has led to the wide adoption of the frequentist</w:t>
      </w:r>
      <w:r>
        <w:t xml:space="preserve"> </w:t>
      </w:r>
      <w:r>
        <w:rPr>
          <w:i/>
        </w:rPr>
        <w:t xml:space="preserve">p</w:t>
      </w:r>
      <w:r>
        <w:t xml:space="preserve">-value, used as an index of effect existence, and its acceptance was accompanied with the creation of arbitrary clusters for its classification (.05, .01 and .001).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w:t>
      </w:r>
      <w:r>
        <w:t xml:space="preserve">as opposed to the old and flawed frequentist one. Nonetheless, it seems that</w:t>
      </w:r>
      <w:r>
        <w:t xml:space="preserve"> </w:t>
      </w:r>
      <w:r>
        <w:t xml:space="preserve">“</w:t>
      </w:r>
      <w:r>
        <w:t xml:space="preserve">effect existence</w:t>
      </w:r>
      <w:r>
        <w:t xml:space="preserve">”</w:t>
      </w:r>
      <w:r>
        <w:t xml:space="preserve"> </w:t>
      </w:r>
      <w:r>
        <w:t xml:space="preserve">indices and criteria are useful for Humans to gain an intuitive understanding of the interactions and structure of their data. It is thus unsurprising that the development of Bayesian user-friendly implementations was accompanied with the promotion of the Bayes Factor (BF), an index reflecting the predictive performance of a model against another</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 </w:t>
      </w:r>
      <w:r>
        <w:t xml:space="preserve">value, having a straightforward interpretation (</w:t>
      </w:r>
      <w:r>
        <w:t xml:space="preserve">“</w:t>
      </w:r>
      <w:r>
        <w:t xml:space="preserve">the data were 3 times (</w:t>
      </w:r>
      <w:r>
        <w:rPr>
          <w:i/>
        </w:rPr>
        <w:t xml:space="preserve">BF</w:t>
      </w:r>
      <w:r>
        <w:t xml:space="preserve"> </w:t>
      </w:r>
      <w:r>
        <w:t xml:space="preserve">= 3) more likely to occur under the alternative than the null hypothesis</w:t>
      </w:r>
      <w:r>
        <w:t xml:space="preserve">”</w:t>
      </w:r>
      <w:r>
        <w:t xml:space="preserve">) and allowing to make statements about the alternative, rather than just the null hypothesis</w:t>
      </w:r>
      <w:r>
        <w:t xml:space="preserve"> </w:t>
      </w:r>
      <w:r>
        <w:t xml:space="preserve">(Dienes, 2014; Jarosz &amp; Wiley, 2014)</w:t>
      </w:r>
      <w:r>
        <w:t xml:space="preserve">. Moreover, recent mathematical developments allow its computation for complex models</w:t>
      </w:r>
      <w:r>
        <w:t xml:space="preserve"> </w:t>
      </w:r>
      <w:r>
        <w:t xml:space="preserve">(Gronau, Van Erp, et al., 2017; Gronau et al., 2017)</w:t>
      </w:r>
      <w:r>
        <w:t xml:space="preserve">. Although the BF lives up to the expectations of a solid, valid, intuitive and better index compared to the p value, its use for model selection is still a matter of debate</w:t>
      </w:r>
      <w:r>
        <w:t xml:space="preserve"> </w:t>
      </w:r>
      <w:r>
        <w:t xml:space="preserve">(Piironen &amp; Vehtari, 2017)</w:t>
      </w:r>
      <w:r>
        <w:t xml:space="preserve">. Indeed, as the predictions used for its computation are generated from the prior distributions on the model parameters, it is highly dependent on priors specification</w:t>
      </w:r>
      <w:r>
        <w:t xml:space="preserve"> </w:t>
      </w:r>
      <w:r>
        <w:t xml:space="preserve">(Etz, Haaf, Rouder, &amp; Vandekerckhove, 2018; Kruschke &amp; Liddell, 2018)</w:t>
      </w:r>
      <w:r>
        <w:t xml:space="preserve">. Importantly for the aim of this paper, its use for estimating effect existence of parameters</w:t>
      </w:r>
      <w:r>
        <w:t xml:space="preserve"> </w:t>
      </w:r>
      <w:r>
        <w:rPr>
          <w:i/>
        </w:rPr>
        <w:t xml:space="preserve">within</w:t>
      </w:r>
      <w:r>
        <w:t xml:space="preserve"> </w:t>
      </w:r>
      <w:r>
        <w:t xml:space="preserve">a larger model remains limited, its computation being technically difficult and its interpretation not as straightforward as for</w:t>
      </w:r>
      <w:r>
        <w:t xml:space="preserve"> </w:t>
      </w:r>
      <w:r>
        <w:t xml:space="preserve">“</w:t>
      </w:r>
      <w:r>
        <w:t xml:space="preserve">simple</w:t>
      </w:r>
      <w:r>
        <w:t xml:space="preserve">”</w:t>
      </w:r>
      <w:r>
        <w:t xml:space="preserve"> </w:t>
      </w:r>
      <w:r>
        <w:t xml:space="preserve">tests such as t-tests or correlations.</w:t>
      </w:r>
    </w:p>
    <w:p>
      <w:pPr>
        <w:pStyle w:val="BodyText"/>
      </w:pPr>
      <w:r>
        <w:t xml:space="preserve">Nevertheless, reflecting the need for such information, researchers have developed other indices based on characteristics of the posterior distribution, which represents the probability distribution of different parameter values given the observed data. This uncertainty can be summarized, for example, by presenting point-estimates of centrality (mean, median, …) and of dispersion (standard deviation, median absolute deviance, …), often accompanied with a percentage (89%, 90% or 95%) of the Highest Density Interval (HDI; referred to as the</w:t>
      </w:r>
      <w:r>
        <w:t xml:space="preserve"> </w:t>
      </w:r>
      <w:r>
        <w:rPr>
          <w:i/>
        </w:rPr>
        <w:t xml:space="preserve">Credible Interval</w:t>
      </w:r>
      <w:r>
        <w:t xml:space="preserve"> </w:t>
      </w:r>
      <w:r>
        <w:t xml:space="preserve">- CI). Although the Bayesian framework gives the possibility of computing many effect existence indices, no consensus has yet emerged on the ones to use, as no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behavior</w:t>
      </w:r>
      <w:r>
        <w:t xml:space="preserve">”</w:t>
      </w:r>
      <w:r>
        <w:t xml:space="preserve"> </w:t>
      </w:r>
      <w:r>
        <w:t xml:space="preserve">in relationship with sample size and effect size.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 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(vs. 0) and Bayes factor (vs. ROPE)</w:t>
      </w:r>
      <w:bookmarkEnd w:id="30"/>
    </w:p>
    <w:p>
      <w:pPr>
        <w:pStyle w:val="FirstParagraph"/>
      </w:pPr>
      <w:r>
        <w:t xml:space="preserve">The Bayes Factor (</w:t>
      </w:r>
      <w:r>
        <w:rPr>
          <w:i/>
        </w:rPr>
        <w:t xml:space="preserve">BF</w:t>
      </w:r>
      <w:r>
        <w:t xml:space="preserve">)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the Bayes factor was computed using the Savage-Dickey density ratio is computed, which is also an approximation of a Bayes factor comparing the marginal likelihoods of the model against a model in which the tested parameter has been restricted to the point null. We also computed the BF of the posterior distribution against the range of negligible values (the ROPE), …</w:t>
      </w:r>
      <w:r>
        <w:t xml:space="preserve"> </w:t>
      </w:r>
    </w:p>
    <w:p>
      <w:pPr>
        <w:pStyle w:val="Heading2"/>
      </w:pPr>
      <w:bookmarkStart w:id="31" w:name="data-anaysis"/>
      <w:r>
        <w:t xml:space="preserve">Data Anaysis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and-noise"/>
      <w:r>
        <w:t xml:space="preserve">Impact of Sample Size and Noise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1.png" id="0" name="Picture"/>
                    <pic:cNvPicPr>
                      <a:picLocks noChangeArrowheads="1" noChangeAspect="1"/>
                    </pic:cNvPicPr>
                  </pic:nvPicPr>
                  <pic:blipFill>
                    <a:blip r:embed="rId35"/>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1. Performance comparison of the indices in predicting the presence of an effect.</w:t>
      </w:r>
    </w:p>
    <w:tbl>
      <w:tblPr>
        <w:tblStyle w:val="Table"/>
        <w:tblW w:type="pct" w:w="0.0"/>
        <w:tblLook w:firstRow="1"/>
        <w:tblCaption w:val="Table 1.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right"/>
            </w:pPr>
            <w:r>
              <w:t xml:space="preserve">BF</w:t>
            </w:r>
          </w:p>
        </w:tc>
      </w:tr>
      <w:tr>
        <w:tc>
          <w:p>
            <w:pPr>
              <w:pStyle w:val="Compact"/>
              <w:jc w:val="left"/>
            </w:pPr>
            <w:r>
              <w:t xml:space="preserve">linear</w:t>
            </w:r>
          </w:p>
        </w:tc>
        <w:tc>
          <w:p>
            <w:pPr>
              <w:pStyle w:val="Compact"/>
              <w:jc w:val="left"/>
            </w:pPr>
            <w:r>
              <w:t xml:space="preserve">p_value</w:t>
            </w:r>
          </w:p>
        </w:tc>
        <w:tc>
          <w:p>
            <w:pPr>
              <w:pStyle w:val="Compact"/>
              <w:jc w:val="right"/>
            </w:pPr>
            <w:r>
              <w:t xml:space="preserve">921</w:t>
            </w:r>
          </w:p>
        </w:tc>
        <w:tc>
          <w:p>
            <w:pPr>
              <w:pStyle w:val="Compact"/>
              <w:jc w:val="right"/>
            </w:pPr>
            <w:r>
              <w:t xml:space="preserve">940</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919</w:t>
            </w:r>
          </w:p>
        </w:tc>
        <w:tc>
          <w:p>
            <w:pPr>
              <w:pStyle w:val="Compact"/>
              <w:jc w:val="right"/>
            </w:pPr>
            <w:r>
              <w:t xml:space="preserve">938</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2.3e+00</w:t>
            </w:r>
          </w:p>
        </w:tc>
      </w:tr>
      <w:tr>
        <w:tc>
          <w:p>
            <w:pPr>
              <w:pStyle w:val="Compact"/>
              <w:jc w:val="left"/>
            </w:pPr>
            <w:r>
              <w:t xml:space="preserve">linear</w:t>
            </w:r>
          </w:p>
        </w:tc>
        <w:tc>
          <w:p>
            <w:pPr>
              <w:pStyle w:val="Compact"/>
              <w:jc w:val="left"/>
            </w:pPr>
            <w:r>
              <w:t xml:space="preserve">p_MAP</w:t>
            </w:r>
          </w:p>
        </w:tc>
        <w:tc>
          <w:p>
            <w:pPr>
              <w:pStyle w:val="Compact"/>
              <w:jc w:val="right"/>
            </w:pPr>
            <w:r>
              <w:t xml:space="preserve">829</w:t>
            </w:r>
          </w:p>
        </w:tc>
        <w:tc>
          <w:p>
            <w:pPr>
              <w:pStyle w:val="Compact"/>
              <w:jc w:val="right"/>
            </w:pPr>
            <w:r>
              <w:t xml:space="preserve">848</w:t>
            </w:r>
          </w:p>
        </w:tc>
        <w:tc>
          <w:p>
            <w:pPr>
              <w:pStyle w:val="Compact"/>
              <w:jc w:val="right"/>
            </w:pPr>
            <w:r>
              <w:t xml:space="preserve">0.42</w:t>
            </w:r>
          </w:p>
        </w:tc>
        <w:tc>
          <w:p>
            <w:pPr>
              <w:pStyle w:val="Compact"/>
              <w:jc w:val="right"/>
            </w:pPr>
            <w:r>
              <w:t xml:space="preserve">0.95</w:t>
            </w:r>
          </w:p>
        </w:tc>
        <w:tc>
          <w:p>
            <w:pPr>
              <w:pStyle w:val="Compact"/>
              <w:jc w:val="right"/>
            </w:pPr>
            <w:r>
              <w:t xml:space="preserve">0.46</w:t>
            </w:r>
          </w:p>
        </w:tc>
        <w:tc>
          <w:p>
            <w:pPr>
              <w:pStyle w:val="Compact"/>
              <w:jc w:val="right"/>
            </w:pPr>
            <w:r>
              <w:t xml:space="preserve">0.71</w:t>
            </w:r>
          </w:p>
        </w:tc>
        <w:tc>
          <w:p>
            <w:pPr>
              <w:pStyle w:val="Compact"/>
              <w:jc w:val="right"/>
            </w:pPr>
            <w:r>
              <w:t xml:space="preserve">8.6e+19</w:t>
            </w:r>
          </w:p>
        </w:tc>
      </w:tr>
      <w:tr>
        <w:tc>
          <w:p>
            <w:pPr>
              <w:pStyle w:val="Compact"/>
              <w:jc w:val="left"/>
            </w:pPr>
            <w:r>
              <w:t xml:space="preserve">linear</w:t>
            </w:r>
          </w:p>
        </w:tc>
        <w:tc>
          <w:p>
            <w:pPr>
              <w:pStyle w:val="Compact"/>
              <w:jc w:val="left"/>
            </w:pPr>
            <w:r>
              <w:t xml:space="preserve">ROPE_95</w:t>
            </w:r>
          </w:p>
        </w:tc>
        <w:tc>
          <w:p>
            <w:pPr>
              <w:pStyle w:val="Compact"/>
              <w:jc w:val="right"/>
            </w:pPr>
            <w:r>
              <w:t xml:space="preserve">800</w:t>
            </w:r>
          </w:p>
        </w:tc>
        <w:tc>
          <w:p>
            <w:pPr>
              <w:pStyle w:val="Compact"/>
              <w:jc w:val="right"/>
            </w:pPr>
            <w:r>
              <w:t xml:space="preserve">819</w:t>
            </w:r>
          </w:p>
        </w:tc>
        <w:tc>
          <w:p>
            <w:pPr>
              <w:pStyle w:val="Compact"/>
              <w:jc w:val="right"/>
            </w:pPr>
            <w:r>
              <w:t xml:space="preserve">0.44</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1.5e+26</w:t>
            </w:r>
          </w:p>
        </w:tc>
      </w:tr>
      <w:tr>
        <w:tc>
          <w:p>
            <w:pPr>
              <w:pStyle w:val="Compact"/>
              <w:jc w:val="left"/>
            </w:pPr>
            <w:r>
              <w:t xml:space="preserve">linear</w:t>
            </w:r>
          </w:p>
        </w:tc>
        <w:tc>
          <w:p>
            <w:pPr>
              <w:pStyle w:val="Compact"/>
              <w:jc w:val="left"/>
            </w:pPr>
            <w:r>
              <w:t xml:space="preserve">ROPE_full</w:t>
            </w:r>
          </w:p>
        </w:tc>
        <w:tc>
          <w:p>
            <w:pPr>
              <w:pStyle w:val="Compact"/>
              <w:jc w:val="right"/>
            </w:pPr>
            <w:r>
              <w:t xml:space="preserve">795</w:t>
            </w:r>
          </w:p>
        </w:tc>
        <w:tc>
          <w:p>
            <w:pPr>
              <w:pStyle w:val="Compact"/>
              <w:jc w:val="right"/>
            </w:pPr>
            <w:r>
              <w:t xml:space="preserve">814</w:t>
            </w:r>
          </w:p>
        </w:tc>
        <w:tc>
          <w:p>
            <w:pPr>
              <w:pStyle w:val="Compact"/>
              <w:jc w:val="right"/>
            </w:pPr>
            <w:r>
              <w:t xml:space="preserve">0.45</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1.8e+27</w:t>
            </w:r>
          </w:p>
        </w:tc>
      </w:tr>
      <w:tr>
        <w:tc>
          <w:p>
            <w:pPr>
              <w:pStyle w:val="Compact"/>
              <w:jc w:val="left"/>
            </w:pPr>
            <w:r>
              <w:t xml:space="preserve">linear</w:t>
            </w:r>
          </w:p>
        </w:tc>
        <w:tc>
          <w:p>
            <w:pPr>
              <w:pStyle w:val="Compact"/>
              <w:jc w:val="left"/>
            </w:pPr>
            <w:r>
              <w:t xml:space="preserve">BF_log</w:t>
            </w:r>
          </w:p>
        </w:tc>
        <w:tc>
          <w:p>
            <w:pPr>
              <w:pStyle w:val="Compact"/>
              <w:jc w:val="right"/>
            </w:pPr>
            <w:r>
              <w:t xml:space="preserve">742</w:t>
            </w:r>
          </w:p>
        </w:tc>
        <w:tc>
          <w:p>
            <w:pPr>
              <w:pStyle w:val="Compact"/>
              <w:jc w:val="right"/>
            </w:pPr>
            <w:r>
              <w:t xml:space="preserve">761</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6.8e+38</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741</w:t>
            </w:r>
          </w:p>
        </w:tc>
        <w:tc>
          <w:p>
            <w:pPr>
              <w:pStyle w:val="Compact"/>
              <w:jc w:val="right"/>
            </w:pPr>
            <w:r>
              <w:t xml:space="preserve">760</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1.0e+39</w:t>
            </w:r>
          </w:p>
        </w:tc>
      </w:tr>
      <w:tr>
        <w:tc>
          <w:p>
            <w:pPr>
              <w:pStyle w:val="Compact"/>
              <w:jc w:val="left"/>
            </w:pPr>
            <w:r>
              <w:t xml:space="preserve">binary</w:t>
            </w:r>
          </w:p>
        </w:tc>
        <w:tc>
          <w:p>
            <w:pPr>
              <w:pStyle w:val="Compact"/>
              <w:jc w:val="left"/>
            </w:pPr>
            <w:r>
              <w:t xml:space="preserve">p_value</w:t>
            </w:r>
          </w:p>
        </w:tc>
        <w:tc>
          <w:p>
            <w:pPr>
              <w:pStyle w:val="Compact"/>
              <w:jc w:val="right"/>
            </w:pPr>
            <w:r>
              <w:t xml:space="preserve">999</w:t>
            </w:r>
          </w:p>
        </w:tc>
        <w:tc>
          <w:p>
            <w:pPr>
              <w:pStyle w:val="Compact"/>
              <w:jc w:val="right"/>
            </w:pPr>
            <w:r>
              <w:t xml:space="preserve">1018</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1000</w:t>
            </w:r>
          </w:p>
        </w:tc>
        <w:tc>
          <w:p>
            <w:pPr>
              <w:pStyle w:val="Compact"/>
              <w:jc w:val="right"/>
            </w:pPr>
            <w:r>
              <w:t xml:space="preserve">1019</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pPr>
              <w:pStyle w:val="Compact"/>
              <w:jc w:val="right"/>
            </w:pPr>
            <w:r>
              <w:t xml:space="preserve">8.5e-01</w:t>
            </w:r>
          </w:p>
        </w:tc>
      </w:tr>
      <w:tr>
        <w:tc>
          <w:p>
            <w:pPr>
              <w:pStyle w:val="Compact"/>
              <w:jc w:val="left"/>
            </w:pPr>
            <w:r>
              <w:t xml:space="preserve">binary</w:t>
            </w:r>
          </w:p>
        </w:tc>
        <w:tc>
          <w:p>
            <w:pPr>
              <w:pStyle w:val="Compact"/>
              <w:jc w:val="left"/>
            </w:pPr>
            <w:r>
              <w:t xml:space="preserve">p_MAP</w:t>
            </w:r>
          </w:p>
        </w:tc>
        <w:tc>
          <w:p>
            <w:pPr>
              <w:pStyle w:val="Compact"/>
              <w:jc w:val="right"/>
            </w:pPr>
            <w:r>
              <w:t xml:space="preserve">931</w:t>
            </w:r>
          </w:p>
        </w:tc>
        <w:tc>
          <w:p>
            <w:pPr>
              <w:pStyle w:val="Compact"/>
              <w:jc w:val="right"/>
            </w:pPr>
            <w:r>
              <w:t xml:space="preserve">950</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right"/>
            </w:pPr>
            <w:r>
              <w:t xml:space="preserve">6.4e+14</w:t>
            </w:r>
          </w:p>
        </w:tc>
      </w:tr>
      <w:tr>
        <w:tc>
          <w:p>
            <w:pPr>
              <w:pStyle w:val="Compact"/>
              <w:jc w:val="left"/>
            </w:pPr>
            <w:r>
              <w:t xml:space="preserve">binary</w:t>
            </w:r>
          </w:p>
        </w:tc>
        <w:tc>
          <w:p>
            <w:pPr>
              <w:pStyle w:val="Compact"/>
              <w:jc w:val="left"/>
            </w:pPr>
            <w:r>
              <w:t xml:space="preserve">ROPE_95</w:t>
            </w:r>
          </w:p>
        </w:tc>
        <w:tc>
          <w:p>
            <w:pPr>
              <w:pStyle w:val="Compact"/>
              <w:jc w:val="right"/>
            </w:pPr>
            <w:r>
              <w:t xml:space="preserve">917</w:t>
            </w:r>
          </w:p>
        </w:tc>
        <w:tc>
          <w:p>
            <w:pPr>
              <w:pStyle w:val="Compact"/>
              <w:jc w:val="right"/>
            </w:pPr>
            <w:r>
              <w:t xml:space="preserve">937</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5.9e+17</w:t>
            </w:r>
          </w:p>
        </w:tc>
      </w:tr>
      <w:tr>
        <w:tc>
          <w:p>
            <w:pPr>
              <w:pStyle w:val="Compact"/>
              <w:jc w:val="left"/>
            </w:pPr>
            <w:r>
              <w:t xml:space="preserve">binary</w:t>
            </w:r>
          </w:p>
        </w:tc>
        <w:tc>
          <w:p>
            <w:pPr>
              <w:pStyle w:val="Compact"/>
              <w:jc w:val="left"/>
            </w:pPr>
            <w:r>
              <w:t xml:space="preserve">ROPE_full</w:t>
            </w:r>
          </w:p>
        </w:tc>
        <w:tc>
          <w:p>
            <w:pPr>
              <w:pStyle w:val="Compact"/>
              <w:jc w:val="right"/>
            </w:pPr>
            <w:r>
              <w:t xml:space="preserve">914</w:t>
            </w:r>
          </w:p>
        </w:tc>
        <w:tc>
          <w:p>
            <w:pPr>
              <w:pStyle w:val="Compact"/>
              <w:jc w:val="right"/>
            </w:pPr>
            <w:r>
              <w:t xml:space="preserve">934</w:t>
            </w:r>
          </w:p>
        </w:tc>
        <w:tc>
          <w:p>
            <w:pPr>
              <w:pStyle w:val="Compact"/>
              <w:jc w:val="right"/>
            </w:pPr>
            <w:r>
              <w:t xml:space="preserve">0.34</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right"/>
            </w:pPr>
            <w:r>
              <w:t xml:space="preserve">2.7e+18</w:t>
            </w:r>
          </w:p>
        </w:tc>
      </w:tr>
      <w:tr>
        <w:tc>
          <w:p>
            <w:pPr>
              <w:pStyle w:val="Compact"/>
              <w:jc w:val="left"/>
            </w:pPr>
            <w:r>
              <w:t xml:space="preserve">binary</w:t>
            </w:r>
          </w:p>
        </w:tc>
        <w:tc>
          <w:p>
            <w:pPr>
              <w:pStyle w:val="Compact"/>
              <w:jc w:val="left"/>
            </w:pPr>
            <w:r>
              <w:t xml:space="preserve">BF_log</w:t>
            </w:r>
          </w:p>
        </w:tc>
        <w:tc>
          <w:p>
            <w:pPr>
              <w:pStyle w:val="Compact"/>
              <w:jc w:val="right"/>
            </w:pPr>
            <w:r>
              <w:t xml:space="preserve">870</w:t>
            </w:r>
          </w:p>
        </w:tc>
        <w:tc>
          <w:p>
            <w:pPr>
              <w:pStyle w:val="Compact"/>
              <w:jc w:val="right"/>
            </w:pPr>
            <w:r>
              <w:t xml:space="preserve">889</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1.2e+28</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869</w:t>
            </w:r>
          </w:p>
        </w:tc>
        <w:tc>
          <w:p>
            <w:pPr>
              <w:pStyle w:val="Compact"/>
              <w:jc w:val="right"/>
            </w:pPr>
            <w:r>
              <w:t xml:space="preserve">888</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1.7e+28</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 (computed via BIC approximation (</w:t>
      </w:r>
      <w:r>
        <w:rPr>
          <w:b/>
        </w:rPr>
        <w:t xml:space="preserve">REFERENCE</w:t>
      </w:r>
      <w:r>
        <w:t xml:space="preserve">) against the frequentist</w:t>
      </w:r>
      <w:r>
        <w:t xml:space="preserve"> </w:t>
      </w:r>
      <w:r>
        <w:rPr>
          <w:i/>
        </w:rPr>
        <w:t xml:space="preserve">p</w:t>
      </w:r>
      <w:r>
        <w:t xml:space="preserve">-value model), used here as a measure of relative performance, supported this conclusion.</w:t>
      </w:r>
    </w:p>
    <w:p>
      <w:pPr>
        <w:pStyle w:val="Heading2"/>
      </w:pPr>
      <w:bookmarkStart w:id="36" w:name="Xafb673da84e67e85b8d2350151bfae554b0c4e6"/>
      <w:r>
        <w:t xml:space="preserve">Relationship with the frequentist</w:t>
      </w:r>
      <w:r>
        <w:t xml:space="preserve"> </w:t>
      </w:r>
      <w:r>
        <w:rPr>
          <w:i/>
        </w:rPr>
        <w:t xml:space="preserve">p</w:t>
      </w:r>
      <w:r>
        <w:t xml:space="preserve">-value</w:t>
      </w:r>
      <w:bookmarkEnd w:id="36"/>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1.png" id="0" name="Picture"/>
                    <pic:cNvPicPr>
                      <a:picLocks noChangeArrowheads="1" noChangeAspect="1"/>
                    </pic:cNvPicPr>
                  </pic:nvPicPr>
                  <pic:blipFill>
                    <a:blip r:embed="rId37"/>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t xml:space="preserve">The</w:t>
      </w:r>
      <w:r>
        <w:t xml:space="preserve"> </w:t>
      </w: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while</w:t>
      </w:r>
      <w:r>
        <w:t xml:space="preserve"> </w:t>
      </w:r>
      <w:r>
        <w:rPr>
          <w:i/>
        </w:rPr>
        <w:t xml:space="preserve">ROPE</w:t>
      </w:r>
      <w:r>
        <w:t xml:space="preserve">-based percentages appear as being the most independent.</w:t>
      </w:r>
    </w:p>
    <w:p>
      <w:pPr>
        <w:pStyle w:val="BodyText"/>
      </w:pPr>
      <w:r>
        <w:t xml:space="preserve">TODO: Add points type as sample size as ROPE seems to be directly related to groups of sample size.</w:t>
      </w:r>
    </w:p>
    <w:p>
      <w:pPr>
        <w:pStyle w:val="CaptionedFigure"/>
      </w:pPr>
      <w:r>
        <w:drawing>
          <wp:inline>
            <wp:extent cx="6197600" cy="4382141"/>
            <wp:effectExtent b="0" l="0" r="0" t="0"/>
            <wp:docPr descr="Figure 4. Relationship between Bayesian indices and frequentist arbitrary threshold of significance." title="" id="1" name="Picture"/>
            <a:graphic>
              <a:graphicData uri="http://schemas.openxmlformats.org/drawingml/2006/picture">
                <pic:pic>
                  <pic:nvPicPr>
                    <pic:cNvPr descr="figures/Figure4-1.png" id="0" name="Picture"/>
                    <pic:cNvPicPr>
                      <a:picLocks noChangeArrowheads="1" noChangeAspect="1"/>
                    </pic:cNvPicPr>
                  </pic:nvPicPr>
                  <pic:blipFill>
                    <a:blip r:embed="rId38"/>
                    <a:stretch>
                      <a:fillRect/>
                    </a:stretch>
                  </pic:blipFill>
                  <pic:spPr bwMode="auto">
                    <a:xfrm>
                      <a:off x="0" y="0"/>
                      <a:ext cx="6197600" cy="4382141"/>
                    </a:xfrm>
                    <a:prstGeom prst="rect">
                      <a:avLst/>
                    </a:prstGeom>
                    <a:noFill/>
                    <a:ln w="9525">
                      <a:noFill/>
                      <a:headEnd/>
                      <a:tailEnd/>
                    </a:ln>
                  </pic:spPr>
                </pic:pic>
              </a:graphicData>
            </a:graphic>
          </wp:inline>
        </w:drawing>
      </w:r>
    </w:p>
    <w:p>
      <w:pPr>
        <w:pStyle w:val="ImageCaption"/>
      </w:pPr>
      <w:r>
        <w:t xml:space="preserve">Figure 4. Relationship between Bayesian indices and frequentist arbitrary threshold of significance.</w:t>
      </w:r>
    </w:p>
    <w:p>
      <w:pPr>
        <w:pStyle w:val="Heading2"/>
      </w:pPr>
      <w:bookmarkStart w:id="39" w:name="X9a46fabe5039cd25dfea7b7bb7bf612ea2ee378"/>
      <w:r>
        <w:t xml:space="preserve">Relationship between ROPE (full), pd and BF (vs. ROPE)</w:t>
      </w:r>
      <w:bookmarkEnd w:id="39"/>
    </w:p>
    <w:p>
      <w:pPr>
        <w:pStyle w:val="CaptionedFigure"/>
      </w:pPr>
      <w:r>
        <w:drawing>
          <wp:inline>
            <wp:extent cx="6197600" cy="8765177"/>
            <wp:effectExtent b="0" l="0" r="0" t="0"/>
            <wp:docPr descr="Figure 5. Relationship between three Bayesian indices." title="" id="1" name="Picture"/>
            <a:graphic>
              <a:graphicData uri="http://schemas.openxmlformats.org/drawingml/2006/picture">
                <pic:pic>
                  <pic:nvPicPr>
                    <pic:cNvPr descr="figures/Figure5-1.png" id="0" name="Picture"/>
                    <pic:cNvPicPr>
                      <a:picLocks noChangeArrowheads="1" noChangeAspect="1"/>
                    </pic:cNvPicPr>
                  </pic:nvPicPr>
                  <pic:blipFill>
                    <a:blip r:embed="rId40"/>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SourceCode"/>
      </w:pPr>
      <w:r>
        <w:rPr>
          <w:rStyle w:val="VerbatimChar"/>
        </w:rPr>
        <w:t xml:space="preserve">&gt; TableGrob (3 x 1) "arrange": 3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r>
        <w:br w:type="textWrapping"/>
      </w:r>
      <w:r>
        <w:rPr>
          <w:rStyle w:val="VerbatimChar"/>
        </w:rPr>
        <w:t xml:space="preserve">&gt; 3 3 (3-3,1-1) arrange gtable[layout]</w:t>
      </w:r>
    </w:p>
    <w:p>
      <w:pPr>
        <w:pStyle w:val="FirstParagraph"/>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w:t>
      </w:r>
    </w:p>
    <w:p>
      <w:pPr>
        <w:pStyle w:val="Heading1"/>
      </w:pPr>
      <w:bookmarkStart w:id="41" w:name="discussion"/>
      <w:r>
        <w:t xml:space="preserve">Discussion</w:t>
      </w:r>
      <w:bookmarkEnd w:id="41"/>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Heading1"/>
      </w:pPr>
      <w:bookmarkStart w:id="42" w:name="conclusion-and-limitations"/>
      <w:r>
        <w:t xml:space="preserve">Conclusion and Limitations</w:t>
      </w:r>
      <w:bookmarkEnd w:id="42"/>
    </w:p>
    <w:p>
      <w:pPr>
        <w:pStyle w:val="FirstParagraph"/>
      </w:pPr>
      <w:r>
        <w:t xml:space="preserve">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Thus, in order to assess the existence and significance of effects within a regession model, we recommend to report, at minimum, the</w:t>
      </w:r>
      <w:r>
        <w:t xml:space="preserve"> </w:t>
      </w:r>
      <w:r>
        <w:rPr>
          <w:i/>
        </w:rPr>
        <w:t xml:space="preserve">pd</w:t>
      </w:r>
      <w:r>
        <w:t xml:space="preserve"> </w:t>
      </w:r>
      <w:r>
        <w:t xml:space="preserve">as an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 and the information it provides related to relative evidence of effect size.</w:t>
      </w:r>
    </w:p>
    <w:p>
      <w:pPr>
        <w:pStyle w:val="Heading1"/>
      </w:pPr>
      <w:bookmarkStart w:id="43" w:name="references"/>
      <w:r>
        <w:t xml:space="preserve">References</w:t>
      </w:r>
      <w:bookmarkEnd w:id="43"/>
    </w:p>
    <w:bookmarkStart w:id="76" w:name="refs"/>
    <w:bookmarkStart w:id="44"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4"/>
    <w:bookmarkStart w:id="45"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5"/>
    <w:bookmarkStart w:id="46"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6"/>
    <w:bookmarkStart w:id="47"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7"/>
    <w:bookmarkStart w:id="48"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8"/>
    <w:bookmarkStart w:id="49" w:name="ref-cohen1988statistical"/>
    <w:p>
      <w:pPr>
        <w:pStyle w:val="Bibliography"/>
      </w:pPr>
      <w:r>
        <w:t xml:space="preserve">Cohen, J. (1988).</w:t>
      </w:r>
      <w:r>
        <w:t xml:space="preserve"> </w:t>
      </w:r>
      <w:r>
        <w:rPr>
          <w:i/>
        </w:rPr>
        <w:t xml:space="preserve">Statistical power analysis for the social sciences</w:t>
      </w:r>
      <w:r>
        <w:t xml:space="preserve">.</w:t>
      </w:r>
    </w:p>
    <w:bookmarkEnd w:id="49"/>
    <w:bookmarkStart w:id="50"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0"/>
    <w:bookmarkStart w:id="51"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1"/>
    <w:bookmarkStart w:id="52"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2"/>
    <w:bookmarkStart w:id="53"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53"/>
    <w:bookmarkStart w:id="54"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4"/>
    <w:bookmarkStart w:id="55" w:name="ref-gronau2017bayesian"/>
    <w:p>
      <w:pPr>
        <w:pStyle w:val="Bibliography"/>
      </w:pPr>
      <w:r>
        <w:t xml:space="preserve">Gronau, Q. F., Van Erp, S., Heck, D. W., Cesario, J., Jonas, K. J., &amp; Wagenmakers, E.-J. (2017). A bayesian model-averaged meta-analysis of the power pose effect with informed and default priors: The case of felt power.</w:t>
      </w:r>
      <w:r>
        <w:t xml:space="preserve"> </w:t>
      </w:r>
      <w:r>
        <w:rPr>
          <w:i/>
        </w:rPr>
        <w:t xml:space="preserve">Comprehensive Results in Social Psychology</w:t>
      </w:r>
      <w:r>
        <w:t xml:space="preserve">,</w:t>
      </w:r>
      <w:r>
        <w:t xml:space="preserve"> </w:t>
      </w:r>
      <w:r>
        <w:rPr>
          <w:i/>
        </w:rPr>
        <w:t xml:space="preserve">2</w:t>
      </w:r>
      <w:r>
        <w:t xml:space="preserve">(1), 123–138.</w:t>
      </w:r>
    </w:p>
    <w:bookmarkEnd w:id="55"/>
    <w:bookmarkStart w:id="56" w:name="ref-gronau2017simple"/>
    <w:p>
      <w:pPr>
        <w:pStyle w:val="Bibliography"/>
      </w:pPr>
      <w:r>
        <w:t xml:space="preserve">Gronau, Q. F., Wagenmakers, E.-J., Heck, D. W., &amp; Matzke, D. (2017). A simple method for comparing complex models: Bayesian model comparison for hierarchical multinomial processing tree models using warp-iii bridge sampling.</w:t>
      </w:r>
      <w:r>
        <w:t xml:space="preserve"> </w:t>
      </w:r>
      <w:r>
        <w:rPr>
          <w:i/>
        </w:rPr>
        <w:t xml:space="preserve">Psychometrika</w:t>
      </w:r>
      <w:r>
        <w:t xml:space="preserve">, 1–24.</w:t>
      </w:r>
    </w:p>
    <w:bookmarkEnd w:id="56"/>
    <w:bookmarkStart w:id="5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57"/>
    <w:bookmarkStart w:id="58" w:name="ref-jeffreys1998theory"/>
    <w:p>
      <w:pPr>
        <w:pStyle w:val="Bibliography"/>
      </w:pPr>
      <w:r>
        <w:t xml:space="preserve">Jeffreys, H. (1998).</w:t>
      </w:r>
      <w:r>
        <w:t xml:space="preserve"> </w:t>
      </w:r>
      <w:r>
        <w:rPr>
          <w:i/>
        </w:rPr>
        <w:t xml:space="preserve">The theory of probability</w:t>
      </w:r>
      <w:r>
        <w:t xml:space="preserve">. OUP Oxford.</w:t>
      </w:r>
    </w:p>
    <w:bookmarkEnd w:id="58"/>
    <w:bookmarkStart w:id="59"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9"/>
    <w:bookmarkStart w:id="60"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60"/>
    <w:bookmarkStart w:id="61"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61"/>
    <w:bookmarkStart w:id="62"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62"/>
    <w:bookmarkStart w:id="6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63"/>
    <w:bookmarkStart w:id="64"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64"/>
    <w:bookmarkStart w:id="65"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65"/>
    <w:bookmarkStart w:id="66"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66"/>
    <w:bookmarkStart w:id="67"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67"/>
    <w:bookmarkStart w:id="68"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8"/>
    <w:bookmarkStart w:id="69" w:name="ref-piironen2017comparison"/>
    <w:p>
      <w:pPr>
        <w:pStyle w:val="Bibliography"/>
      </w:pPr>
      <w:r>
        <w:t xml:space="preserve">Piironen, J., &amp; Vehtari, A. (2017). Comparison of bayesian predictive methods for model selection.</w:t>
      </w:r>
      <w:r>
        <w:t xml:space="preserve"> </w:t>
      </w:r>
      <w:r>
        <w:rPr>
          <w:i/>
        </w:rPr>
        <w:t xml:space="preserve">Statistics and Computing</w:t>
      </w:r>
      <w:r>
        <w:t xml:space="preserve">,</w:t>
      </w:r>
      <w:r>
        <w:t xml:space="preserve"> </w:t>
      </w:r>
      <w:r>
        <w:rPr>
          <w:i/>
        </w:rPr>
        <w:t xml:space="preserve">27</w:t>
      </w:r>
      <w:r>
        <w:t xml:space="preserve">(3), 711–735.</w:t>
      </w:r>
    </w:p>
    <w:bookmarkEnd w:id="69"/>
    <w:bookmarkStart w:id="7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70"/>
    <w:bookmarkStart w:id="71"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71"/>
    <w:bookmarkStart w:id="72"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72"/>
    <w:bookmarkStart w:id="73"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73"/>
    <w:bookmarkStart w:id="74"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74"/>
    <w:bookmarkStart w:id="75"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75"/>
    <w:bookmarkEnd w:id="76"/>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24" Target="https://github.com/easystats/easystats/tree/master/publications/makowski_2019_bayesian/data"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easystats/easystats/tree/master/publications/makowski_2019_bayesian/data"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2019-08-03T06:37:41Z</dcterms:created>
  <dcterms:modified xsi:type="dcterms:W3CDTF">2019-08-03T06:37:41Z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