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 Light" w:hAnsi="Calibri Light"/>
          <w:b/>
          <w:sz w:val="48"/>
        </w:rPr>
        <w:t>Q3 Financial Performance Review</w:t>
      </w:r>
    </w:p>
    <w:p/>
    <w:p>
      <w:pPr>
        <w:pStyle w:val="Heading1"/>
      </w:pPr>
      <w:r>
        <w:rPr>
          <w:rFonts w:ascii="Arial" w:hAnsi="Arial"/>
          <w:b/>
          <w:sz w:val="36"/>
        </w:rPr>
        <w:t>1. Introduction &amp; Executive Summary</w:t>
      </w:r>
    </w:p>
    <w:p>
      <w:pPr>
        <w:spacing w:after="120"/>
      </w:pPr>
      <w:r>
        <w:t xml:space="preserve">This report outlines the company's financial performance for the third quarter of FY2024. </w:t>
      </w:r>
      <w:r>
        <w:t xml:space="preserve">Key highlights include a 15% revenue growth year-over-year and successful launch of Project Titan. </w:t>
      </w:r>
      <w:r>
        <w:rPr>
          <w:rFonts w:ascii="Times New Roman" w:hAnsi="Times New Roman"/>
          <w:sz w:val="22"/>
        </w:rPr>
        <w:t>However, operational costs saw an unexpected increase of 5%.</w:t>
      </w:r>
    </w:p>
    <w:p>
      <w:pPr>
        <w:pStyle w:val="Heading1"/>
      </w:pPr>
      <w:r>
        <w:rPr>
          <w:rFonts w:ascii="Georgia" w:hAnsi="Georgia"/>
          <w:i/>
          <w:sz w:val="32"/>
        </w:rPr>
        <w:t>SECTION 2: DETAILED FINANCIAL ANALYSIS</w:t>
      </w:r>
    </w:p>
    <w:p>
      <w:pPr>
        <w:spacing w:before="60" w:after="60" w:line="300" w:lineRule="auto"/>
      </w:pPr>
      <w:r>
        <w:rPr>
          <w:rFonts w:ascii="Verdana" w:hAnsi="Verdana"/>
          <w:sz w:val="21"/>
        </w:rPr>
        <w:t>The detailed financial statements reveal strong performance in the North American market, offset slightly by challenges in the APAC region. Gross margin remained stable at 45%.</w:t>
      </w:r>
    </w:p>
    <w:p>
      <w:pPr>
        <w:pStyle w:val="Heading2"/>
      </w:pPr>
      <w:r>
        <w:t>2.1 Key Metrics</w:t>
      </w:r>
    </w:p>
    <w:p>
      <w:pPr>
        <w:pStyle w:val="ListBullet"/>
      </w:pPr>
      <w:r>
        <w:t>Revenue Streams:</w:t>
      </w:r>
    </w:p>
    <w:p>
      <w:pPr>
        <w:pStyle w:val="ListBullet"/>
      </w:pPr>
      <w:r>
        <w:t>Subscription Services: $5.2M</w:t>
      </w:r>
    </w:p>
    <w:p>
      <w:pPr>
        <w:ind w:left="1080"/>
      </w:pPr>
      <w:r>
        <w:rPr>
          <w:rFonts w:ascii="Courier New" w:hAnsi="Courier New"/>
        </w:rPr>
        <w:t>• Product Sales: $3.8M</w:t>
      </w:r>
    </w:p>
    <w:p>
      <w:pPr>
        <w:pStyle w:val="ListBullet"/>
      </w:pPr>
      <w:r>
        <w:t>Consulting: $1.1M</w:t>
      </w:r>
    </w:p>
    <w:p>
      <w:pPr>
        <w:pStyle w:val="Heading1"/>
      </w:pPr>
      <w:r>
        <w:t>3. Departmental Review &amp; Variances</w:t>
      </w:r>
    </w:p>
    <w:p>
      <w:pPr>
        <w:spacing w:after="240"/>
      </w:pPr>
      <w:r>
        <w:rPr>
          <w:rFonts w:ascii="Calibri" w:hAnsi="Calibri"/>
          <w:sz w:val="22"/>
        </w:rPr>
        <w:t>A review of departmental budgets against actuals shows variances primarily in Marketing (overspend) and R&amp;D (underspend due to hiring delays).</w:t>
      </w:r>
    </w:p>
    <w:p>
      <w:r>
        <w:t>Variance Summary: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Times New Roman" w:hAnsi="Times New Roman"/>
                <w:b/>
              </w:rPr>
              <w:t>Department</w:t>
            </w:r>
          </w:p>
        </w:tc>
        <w:tc>
          <w:tcPr>
            <w:tcW w:type="dxa" w:w="2880"/>
          </w:tcPr>
          <w:p>
            <w:r>
              <w:rPr>
                <w:rFonts w:ascii="Times New Roman" w:hAnsi="Times New Roman"/>
                <w:b/>
              </w:rPr>
              <w:t>Budgeted</w:t>
            </w:r>
          </w:p>
        </w:tc>
        <w:tc>
          <w:tcPr>
            <w:tcW w:type="dxa" w:w="2880"/>
          </w:tcPr>
          <w:p>
            <w:r>
              <w:rPr>
                <w:rFonts w:ascii="Times New Roman" w:hAnsi="Times New Roman"/>
                <w:b/>
              </w:rPr>
              <w:t>Actual</w:t>
            </w:r>
          </w:p>
        </w:tc>
      </w:tr>
      <w:tr>
        <w:tc>
          <w:tcPr>
            <w:tcW w:type="dxa" w:w="2880"/>
          </w:tcPr>
          <w:p>
            <w:r>
              <w:t>Marketing</w:t>
            </w:r>
          </w:p>
        </w:tc>
        <w:tc>
          <w:tcPr>
            <w:tcW w:type="dxa" w:w="2880"/>
          </w:tcPr>
          <w:p>
            <w:r>
              <w:t>$500,000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$550,000</w:t>
            </w:r>
          </w:p>
        </w:tc>
      </w:tr>
      <w:tr>
        <w:tc>
          <w:tcPr>
            <w:tcW w:type="dxa" w:w="2880"/>
          </w:tcPr>
          <w:p>
            <w:r>
              <w:t>R&amp;D</w:t>
            </w:r>
          </w:p>
        </w:tc>
        <w:tc>
          <w:tcPr>
            <w:tcW w:type="dxa" w:w="2880"/>
          </w:tcPr>
          <w:p>
            <w:r>
              <w:t>$750,000</w:t>
            </w:r>
          </w:p>
        </w:tc>
        <w:tc>
          <w:tcPr>
            <w:tcW w:type="dxa" w:w="2880"/>
          </w:tcPr>
          <w:p>
            <w:r>
              <w:t>$700,000</w:t>
            </w:r>
          </w:p>
        </w:tc>
      </w:tr>
    </w:tbl>
    <w:p>
      <w:pPr>
        <w:pStyle w:val="Heading1"/>
      </w:pPr>
      <w:r>
        <w:rPr>
          <w:rFonts w:ascii="Arial Narrow" w:hAnsi="Arial Narrow"/>
          <w:sz w:val="30"/>
        </w:rPr>
        <w:t>IV. Outlook for Q4</w:t>
      </w:r>
    </w:p>
    <w:p>
      <w:pPr>
        <w:spacing w:line="240" w:lineRule="auto" w:after="0"/>
      </w:pPr>
      <w:r>
        <w:rPr>
          <w:rFonts w:ascii="Arial" w:hAnsi="Arial"/>
          <w:sz w:val="16"/>
        </w:rPr>
        <w:t>The outlook for Q4 remains positive, with projected growth of 12-14%. Focus will be on cost optimization and expanding market reach for Project Titan.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